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18BF1" w14:textId="77777777" w:rsidR="00F11CDF" w:rsidRPr="004D61E8" w:rsidRDefault="00F11CDF" w:rsidP="00F11CDF">
      <w:pPr>
        <w:spacing w:line="360" w:lineRule="auto"/>
        <w:ind w:left="357"/>
        <w:jc w:val="center"/>
        <w:rPr>
          <w:rFonts w:ascii="Times New Roman" w:hAnsi="Times New Roman" w:cs="Times New Roman"/>
          <w:b/>
          <w:sz w:val="28"/>
          <w:szCs w:val="28"/>
        </w:rPr>
      </w:pPr>
      <w:r w:rsidRPr="004D61E8">
        <w:rPr>
          <w:rFonts w:ascii="Times New Roman" w:hAnsi="Times New Roman" w:cs="Times New Roman"/>
          <w:b/>
          <w:sz w:val="28"/>
          <w:szCs w:val="28"/>
        </w:rPr>
        <w:t>ODAMIZCA ÜLKEMİZDEKİ PİYASA GÖZETİM VE DENETİM</w:t>
      </w:r>
      <w:r w:rsidR="00A95A03" w:rsidRPr="004D61E8">
        <w:rPr>
          <w:rFonts w:ascii="Times New Roman" w:hAnsi="Times New Roman" w:cs="Times New Roman"/>
          <w:b/>
          <w:sz w:val="28"/>
          <w:szCs w:val="28"/>
        </w:rPr>
        <w:t xml:space="preserve"> SİSTEMİNİN İYİLEŞTİRİLMESİNE YÖNELİK </w:t>
      </w:r>
      <w:r w:rsidRPr="004D61E8">
        <w:rPr>
          <w:rFonts w:ascii="Times New Roman" w:hAnsi="Times New Roman" w:cs="Times New Roman"/>
          <w:b/>
          <w:sz w:val="28"/>
          <w:szCs w:val="28"/>
        </w:rPr>
        <w:t>ÇALIŞMALAR</w:t>
      </w:r>
    </w:p>
    <w:p w14:paraId="2D824769" w14:textId="77777777" w:rsidR="00F11CDF" w:rsidRDefault="004B467B" w:rsidP="00C2024B">
      <w:pPr>
        <w:jc w:val="both"/>
        <w:rPr>
          <w:rFonts w:ascii="Times New Roman" w:hAnsi="Times New Roman" w:cs="Times New Roman"/>
          <w:b/>
          <w:sz w:val="24"/>
          <w:szCs w:val="24"/>
        </w:rPr>
      </w:pPr>
      <w:r>
        <w:rPr>
          <w:rFonts w:ascii="Times New Roman" w:hAnsi="Times New Roman" w:cs="Times New Roman"/>
          <w:b/>
          <w:sz w:val="24"/>
          <w:szCs w:val="24"/>
        </w:rPr>
        <w:t xml:space="preserve">Ülkemizde </w:t>
      </w:r>
      <w:r w:rsidR="00C2024B">
        <w:rPr>
          <w:rFonts w:ascii="Times New Roman" w:hAnsi="Times New Roman" w:cs="Times New Roman"/>
          <w:b/>
          <w:sz w:val="24"/>
          <w:szCs w:val="24"/>
        </w:rPr>
        <w:t>Piyasa Gözetimi ve Denetimi:</w:t>
      </w:r>
    </w:p>
    <w:p w14:paraId="79FA5D16" w14:textId="77777777" w:rsidR="00C2024B" w:rsidRPr="00C2024B" w:rsidRDefault="00C2024B" w:rsidP="00C2024B">
      <w:pPr>
        <w:pStyle w:val="GvdeMetni"/>
        <w:spacing w:before="60" w:after="60"/>
        <w:ind w:left="0" w:right="116"/>
        <w:rPr>
          <w:rFonts w:eastAsiaTheme="minorHAnsi"/>
          <w:lang w:eastAsia="en-US" w:bidi="ar-SA"/>
        </w:rPr>
      </w:pPr>
      <w:r w:rsidRPr="00C2024B">
        <w:rPr>
          <w:rFonts w:eastAsiaTheme="minorHAnsi"/>
          <w:lang w:eastAsia="en-US" w:bidi="ar-SA"/>
        </w:rPr>
        <w:t>Ülkemiz, 6 Mart 1995 tarihli ve 1/95 sayılı Türkiye-AB Ortaklık Konseyi Kararı ile 1 Ocak 1996 tarihinden itibaren Avrupa Birliği ile tesis edilen Gümrük Birliği yükümlülükleri gereği; tüketicinin korunması, haksız rekabetin engellenmesi, sınai mülkiyet haklarının korunması gibi ülkemiz sanayini doğrudan etkileyen birçok alanda mevzuatını AB ile uyumlaştırmıştır. Bunun yanı</w:t>
      </w:r>
      <w:r>
        <w:rPr>
          <w:rFonts w:eastAsiaTheme="minorHAnsi"/>
          <w:lang w:eastAsia="en-US" w:bidi="ar-SA"/>
        </w:rPr>
        <w:t xml:space="preserve"> </w:t>
      </w:r>
      <w:r w:rsidRPr="00C2024B">
        <w:rPr>
          <w:rFonts w:eastAsiaTheme="minorHAnsi"/>
          <w:lang w:eastAsia="en-US" w:bidi="ar-SA"/>
        </w:rPr>
        <w:t>sıra ticarette teknik engellerin kaldırılması amacıyla akreditasyon, standardizasyon, metroloji, uygunluk değerlendirmesi konularında teknik mevzuat uyumunu sağlama çalışmalarına başlamıştır.</w:t>
      </w:r>
    </w:p>
    <w:p w14:paraId="14D20773" w14:textId="77777777" w:rsidR="00C2024B" w:rsidRPr="00C2024B" w:rsidRDefault="00C2024B" w:rsidP="00C2024B">
      <w:pPr>
        <w:pStyle w:val="GvdeMetni"/>
        <w:spacing w:before="60" w:after="60"/>
        <w:ind w:left="0" w:right="117"/>
        <w:rPr>
          <w:rFonts w:eastAsiaTheme="minorHAnsi"/>
          <w:lang w:eastAsia="en-US" w:bidi="ar-SA"/>
        </w:rPr>
      </w:pPr>
      <w:r w:rsidRPr="00C2024B">
        <w:rPr>
          <w:rFonts w:eastAsiaTheme="minorHAnsi"/>
          <w:lang w:eastAsia="en-US" w:bidi="ar-SA"/>
        </w:rPr>
        <w:t>4703 sayılı Ürünlere İlişkin Teknik Mevzuatın Hazırlanması ve Uygulanmasına Dair Kanun ülkemiz ile AB arasında Gümrük Birliği’nin işleyişinin temelini oluşturmuş, Kanun bağlamında yürürlüğe konulan yatay çerçeve yönetmelikler</w:t>
      </w:r>
      <w:r w:rsidR="00B1154A">
        <w:rPr>
          <w:rFonts w:eastAsiaTheme="minorHAnsi"/>
          <w:lang w:eastAsia="en-US" w:bidi="ar-SA"/>
        </w:rPr>
        <w:t xml:space="preserve"> (uygulama mevzuatı)</w:t>
      </w:r>
      <w:r w:rsidRPr="00C2024B">
        <w:rPr>
          <w:rFonts w:eastAsiaTheme="minorHAnsi"/>
          <w:lang w:eastAsia="en-US" w:bidi="ar-SA"/>
        </w:rPr>
        <w:t xml:space="preserve"> ve ürünlere ilişkin dikey yönetmelikler</w:t>
      </w:r>
      <w:r w:rsidR="005B07F7">
        <w:rPr>
          <w:rFonts w:eastAsiaTheme="minorHAnsi"/>
          <w:lang w:eastAsia="en-US" w:bidi="ar-SA"/>
        </w:rPr>
        <w:t xml:space="preserve"> (ürün direktifleri)</w:t>
      </w:r>
      <w:r w:rsidRPr="00C2024B">
        <w:rPr>
          <w:rFonts w:eastAsiaTheme="minorHAnsi"/>
          <w:lang w:eastAsia="en-US" w:bidi="ar-SA"/>
        </w:rPr>
        <w:t xml:space="preserve"> ile sistem tesis edilmiştir.</w:t>
      </w:r>
    </w:p>
    <w:p w14:paraId="5874789A" w14:textId="77777777" w:rsidR="00C2024B" w:rsidRDefault="00C2024B" w:rsidP="00C2024B">
      <w:pPr>
        <w:pStyle w:val="GvdeMetni"/>
        <w:spacing w:before="60" w:after="60"/>
        <w:ind w:left="0" w:right="119"/>
        <w:rPr>
          <w:rFonts w:eastAsiaTheme="minorHAnsi"/>
          <w:lang w:eastAsia="en-US" w:bidi="ar-SA"/>
        </w:rPr>
      </w:pPr>
      <w:r w:rsidRPr="00C2024B">
        <w:rPr>
          <w:rFonts w:eastAsiaTheme="minorHAnsi"/>
          <w:lang w:eastAsia="en-US" w:bidi="ar-SA"/>
        </w:rPr>
        <w:t>Buna göre, Gümrük Birliği öncesinde zorunlu standartların denetimi şeklinde gerçekleştirilen ürün denetimlerinin yerini Piyasa Gözetimi ve Denetimi (PGD) sistemi almıştır.</w:t>
      </w:r>
      <w:r>
        <w:rPr>
          <w:rFonts w:eastAsiaTheme="minorHAnsi"/>
          <w:lang w:eastAsia="en-US" w:bidi="ar-SA"/>
        </w:rPr>
        <w:t xml:space="preserve"> </w:t>
      </w:r>
      <w:r w:rsidRPr="00C2024B">
        <w:rPr>
          <w:rFonts w:eastAsiaTheme="minorHAnsi"/>
          <w:lang w:eastAsia="en-US" w:bidi="ar-SA"/>
        </w:rPr>
        <w:t>Gümrük Birliği’nin tesisi sürecinde koordinasyon görevini yürüten Ticaret Bakanlığı (mülga Dış Ticaret Müsteşarlığı ve sonrasında mülga Ekonomi Bakanlığı) koordinasyon görevini yürütürken ilk etapta 11 farklı kamu kurumu PGD faaliyetlerinin yürütülmesinden sorumlu olmuştur. Cumhurbaşkanlığı Hükümet Sistemine geçilmesi ile birlikte yenilenen kamu kurumları dikkate alındığında, hali hazırda 9 kamu kurumu tarafından PGD faaliyeti gerçekleştirilmektedir.</w:t>
      </w:r>
    </w:p>
    <w:p w14:paraId="0743A422" w14:textId="77777777" w:rsidR="00F35E63" w:rsidRPr="00F35E63" w:rsidRDefault="00F35E63" w:rsidP="00DE7D56">
      <w:pPr>
        <w:spacing w:before="90"/>
        <w:rPr>
          <w:rFonts w:ascii="Times New Roman" w:hAnsi="Times New Roman" w:cs="Times New Roman"/>
          <w:b/>
          <w:sz w:val="24"/>
        </w:rPr>
      </w:pPr>
      <w:r>
        <w:rPr>
          <w:rFonts w:ascii="Times New Roman" w:hAnsi="Times New Roman" w:cs="Times New Roman"/>
          <w:b/>
          <w:sz w:val="24"/>
        </w:rPr>
        <w:t xml:space="preserve">Türkiye’deki </w:t>
      </w:r>
      <w:r w:rsidRPr="00F35E63">
        <w:rPr>
          <w:rFonts w:ascii="Times New Roman" w:hAnsi="Times New Roman" w:cs="Times New Roman"/>
          <w:b/>
          <w:sz w:val="24"/>
        </w:rPr>
        <w:t xml:space="preserve">Ürün Grupları ve </w:t>
      </w:r>
      <w:r>
        <w:rPr>
          <w:rFonts w:ascii="Times New Roman" w:hAnsi="Times New Roman" w:cs="Times New Roman"/>
          <w:b/>
          <w:sz w:val="24"/>
        </w:rPr>
        <w:t>PGD’den</w:t>
      </w:r>
      <w:r w:rsidRPr="00F35E63">
        <w:rPr>
          <w:rFonts w:ascii="Times New Roman" w:hAnsi="Times New Roman" w:cs="Times New Roman"/>
          <w:b/>
          <w:sz w:val="24"/>
        </w:rPr>
        <w:t xml:space="preserve"> Sorumlu Kuruluşlar</w:t>
      </w:r>
      <w:r w:rsidR="00D228FC">
        <w:rPr>
          <w:rFonts w:ascii="Times New Roman" w:hAnsi="Times New Roman" w:cs="Times New Roman"/>
          <w:b/>
          <w:sz w:val="24"/>
        </w:rPr>
        <w:t>:</w:t>
      </w:r>
    </w:p>
    <w:tbl>
      <w:tblPr>
        <w:tblStyle w:val="TableNormal"/>
        <w:tblW w:w="906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3"/>
        <w:gridCol w:w="5953"/>
      </w:tblGrid>
      <w:tr w:rsidR="00F35E63" w14:paraId="2B5D1F3E" w14:textId="77777777" w:rsidTr="00DE7D56">
        <w:trPr>
          <w:trHeight w:val="772"/>
        </w:trPr>
        <w:tc>
          <w:tcPr>
            <w:tcW w:w="3113" w:type="dxa"/>
          </w:tcPr>
          <w:p w14:paraId="48FC6D50" w14:textId="77777777" w:rsidR="00F35E63" w:rsidRDefault="00F35E63" w:rsidP="00721262">
            <w:pPr>
              <w:pStyle w:val="TableParagraph"/>
              <w:spacing w:before="128" w:line="261" w:lineRule="auto"/>
              <w:ind w:left="232" w:right="198" w:firstLine="16"/>
              <w:rPr>
                <w:b/>
                <w:sz w:val="24"/>
              </w:rPr>
            </w:pPr>
            <w:r>
              <w:rPr>
                <w:b/>
                <w:sz w:val="24"/>
              </w:rPr>
              <w:t>PİYASA GÖZETİMİ VE DENETİMİ KURULUŞU</w:t>
            </w:r>
          </w:p>
        </w:tc>
        <w:tc>
          <w:tcPr>
            <w:tcW w:w="5953" w:type="dxa"/>
          </w:tcPr>
          <w:p w14:paraId="16FA8269" w14:textId="77777777" w:rsidR="00F35E63" w:rsidRDefault="00F35E63" w:rsidP="00721262">
            <w:pPr>
              <w:pStyle w:val="TableParagraph"/>
              <w:spacing w:before="1"/>
              <w:rPr>
                <w:b/>
                <w:sz w:val="24"/>
              </w:rPr>
            </w:pPr>
          </w:p>
          <w:p w14:paraId="2369C2A6" w14:textId="77777777" w:rsidR="00F35E63" w:rsidRDefault="00F35E63" w:rsidP="00721262">
            <w:pPr>
              <w:pStyle w:val="TableParagraph"/>
              <w:ind w:left="1958"/>
              <w:rPr>
                <w:b/>
                <w:sz w:val="24"/>
              </w:rPr>
            </w:pPr>
            <w:r>
              <w:rPr>
                <w:b/>
                <w:sz w:val="24"/>
              </w:rPr>
              <w:t>ÜRÜN GRUPLARI</w:t>
            </w:r>
          </w:p>
        </w:tc>
      </w:tr>
      <w:tr w:rsidR="00F35E63" w14:paraId="235F676F" w14:textId="77777777" w:rsidTr="00DE7D56">
        <w:trPr>
          <w:trHeight w:val="493"/>
        </w:trPr>
        <w:tc>
          <w:tcPr>
            <w:tcW w:w="9066" w:type="dxa"/>
            <w:gridSpan w:val="2"/>
          </w:tcPr>
          <w:p w14:paraId="2E844532" w14:textId="77777777" w:rsidR="00F35E63" w:rsidRDefault="00F35E63" w:rsidP="00721262">
            <w:pPr>
              <w:pStyle w:val="TableParagraph"/>
              <w:spacing w:before="47"/>
              <w:ind w:left="170"/>
              <w:rPr>
                <w:sz w:val="24"/>
              </w:rPr>
            </w:pPr>
            <w:r>
              <w:rPr>
                <w:b/>
                <w:sz w:val="24"/>
              </w:rPr>
              <w:t>Koordinatör Kuruluş</w:t>
            </w:r>
            <w:r>
              <w:rPr>
                <w:sz w:val="24"/>
              </w:rPr>
              <w:t>: Ticaret Bakanlığı (</w:t>
            </w:r>
            <w:r>
              <w:rPr>
                <w:i/>
                <w:sz w:val="24"/>
              </w:rPr>
              <w:t>Ürün Güvenliği ve Denetimi Genel Müdürlüğü</w:t>
            </w:r>
            <w:r>
              <w:rPr>
                <w:sz w:val="24"/>
              </w:rPr>
              <w:t>)</w:t>
            </w:r>
          </w:p>
        </w:tc>
      </w:tr>
      <w:tr w:rsidR="00F35E63" w14:paraId="11E6C4C5" w14:textId="77777777" w:rsidTr="00DE7D56">
        <w:trPr>
          <w:trHeight w:val="1365"/>
        </w:trPr>
        <w:tc>
          <w:tcPr>
            <w:tcW w:w="3113" w:type="dxa"/>
          </w:tcPr>
          <w:p w14:paraId="1E0FBFC1" w14:textId="77777777" w:rsidR="00F35E63" w:rsidRDefault="00F35E63" w:rsidP="00721262">
            <w:pPr>
              <w:pStyle w:val="TableParagraph"/>
              <w:spacing w:before="107"/>
              <w:ind w:left="9"/>
              <w:rPr>
                <w:sz w:val="24"/>
              </w:rPr>
            </w:pPr>
            <w:r>
              <w:rPr>
                <w:sz w:val="24"/>
              </w:rPr>
              <w:t>Sanayi ve Teknoloji Bakanlığı</w:t>
            </w:r>
          </w:p>
          <w:p w14:paraId="5D3C0BF4" w14:textId="77777777" w:rsidR="00F35E63" w:rsidRDefault="00F35E63" w:rsidP="00721262">
            <w:pPr>
              <w:pStyle w:val="TableParagraph"/>
              <w:spacing w:before="172" w:line="261" w:lineRule="auto"/>
              <w:ind w:left="9" w:right="156"/>
              <w:rPr>
                <w:sz w:val="24"/>
              </w:rPr>
            </w:pPr>
            <w:r>
              <w:rPr>
                <w:sz w:val="24"/>
              </w:rPr>
              <w:t>(</w:t>
            </w:r>
            <w:r>
              <w:rPr>
                <w:i/>
                <w:sz w:val="24"/>
              </w:rPr>
              <w:t>Sanayi Ürünleri ve Güvenliği Genel Müdürlüğü</w:t>
            </w:r>
            <w:r>
              <w:rPr>
                <w:sz w:val="24"/>
              </w:rPr>
              <w:t>)</w:t>
            </w:r>
          </w:p>
        </w:tc>
        <w:tc>
          <w:tcPr>
            <w:tcW w:w="5953" w:type="dxa"/>
          </w:tcPr>
          <w:p w14:paraId="63A37C5C" w14:textId="77777777" w:rsidR="00F35E63" w:rsidRDefault="00F35E63" w:rsidP="00721262">
            <w:pPr>
              <w:pStyle w:val="TableParagraph"/>
              <w:spacing w:before="30" w:line="261" w:lineRule="auto"/>
              <w:ind w:left="7" w:right="-15"/>
              <w:jc w:val="both"/>
              <w:rPr>
                <w:sz w:val="24"/>
              </w:rPr>
            </w:pPr>
            <w:r>
              <w:rPr>
                <w:sz w:val="24"/>
              </w:rPr>
              <w:t>ATEX ürünleri, asansörler, aerosol kaplar, basınçlı ekipmanlar, gaz yakan cihazlar, makineler, motorlu araçlar, sivil kullanım amaçlı patlayıcılar, taşınabilir basınçlı ekipmanlar, kazanlar, pil ve akümülatörler</w:t>
            </w:r>
          </w:p>
        </w:tc>
      </w:tr>
      <w:tr w:rsidR="00F35E63" w14:paraId="25D06C2F" w14:textId="77777777" w:rsidTr="00DE7D56">
        <w:trPr>
          <w:trHeight w:val="1199"/>
        </w:trPr>
        <w:tc>
          <w:tcPr>
            <w:tcW w:w="3113" w:type="dxa"/>
          </w:tcPr>
          <w:p w14:paraId="5D1769E5" w14:textId="77777777" w:rsidR="00F35E63" w:rsidRDefault="00F35E63" w:rsidP="00721262">
            <w:pPr>
              <w:pStyle w:val="TableParagraph"/>
              <w:spacing w:before="23"/>
              <w:ind w:left="9"/>
              <w:rPr>
                <w:sz w:val="24"/>
              </w:rPr>
            </w:pPr>
            <w:r>
              <w:rPr>
                <w:sz w:val="24"/>
              </w:rPr>
              <w:t>Sanayi ve Teknoloji Bakanlığı</w:t>
            </w:r>
          </w:p>
          <w:p w14:paraId="66465619" w14:textId="77777777" w:rsidR="00F35E63" w:rsidRDefault="00F35E63" w:rsidP="00721262">
            <w:pPr>
              <w:pStyle w:val="TableParagraph"/>
              <w:spacing w:before="173" w:line="261" w:lineRule="auto"/>
              <w:ind w:left="9" w:right="149"/>
              <w:rPr>
                <w:sz w:val="24"/>
              </w:rPr>
            </w:pPr>
            <w:r>
              <w:rPr>
                <w:sz w:val="24"/>
              </w:rPr>
              <w:t>(</w:t>
            </w:r>
            <w:r>
              <w:rPr>
                <w:i/>
                <w:sz w:val="24"/>
              </w:rPr>
              <w:t>Metroloji ve Standardizasyon Genel Müdürlüğü</w:t>
            </w:r>
            <w:r>
              <w:rPr>
                <w:sz w:val="24"/>
              </w:rPr>
              <w:t>)</w:t>
            </w:r>
          </w:p>
        </w:tc>
        <w:tc>
          <w:tcPr>
            <w:tcW w:w="5953" w:type="dxa"/>
          </w:tcPr>
          <w:p w14:paraId="3361EA1B" w14:textId="77777777" w:rsidR="00F35E63" w:rsidRDefault="00F35E63" w:rsidP="00721262">
            <w:pPr>
              <w:pStyle w:val="TableParagraph"/>
              <w:spacing w:before="6"/>
              <w:rPr>
                <w:b/>
                <w:sz w:val="34"/>
              </w:rPr>
            </w:pPr>
          </w:p>
          <w:p w14:paraId="4E5ECC4C" w14:textId="77777777" w:rsidR="00F35E63" w:rsidRDefault="00F35E63" w:rsidP="00721262">
            <w:pPr>
              <w:pStyle w:val="TableParagraph"/>
              <w:spacing w:before="1"/>
              <w:ind w:left="7"/>
              <w:rPr>
                <w:sz w:val="24"/>
              </w:rPr>
            </w:pPr>
            <w:r>
              <w:rPr>
                <w:sz w:val="24"/>
              </w:rPr>
              <w:t>Ölçü aletleri, hazır ambalajlı mamuller, (yasal metroloji)</w:t>
            </w:r>
          </w:p>
        </w:tc>
      </w:tr>
      <w:tr w:rsidR="00F35E63" w14:paraId="13F68F15" w14:textId="77777777" w:rsidTr="00DE7D56">
        <w:trPr>
          <w:trHeight w:val="2250"/>
        </w:trPr>
        <w:tc>
          <w:tcPr>
            <w:tcW w:w="3113" w:type="dxa"/>
          </w:tcPr>
          <w:p w14:paraId="47D3021E" w14:textId="77777777" w:rsidR="00F35E63" w:rsidRDefault="00F35E63" w:rsidP="00721262">
            <w:pPr>
              <w:pStyle w:val="TableParagraph"/>
              <w:spacing w:before="6"/>
              <w:rPr>
                <w:b/>
                <w:sz w:val="34"/>
              </w:rPr>
            </w:pPr>
          </w:p>
          <w:p w14:paraId="050517D6" w14:textId="77777777" w:rsidR="00F35E63" w:rsidRDefault="00F35E63" w:rsidP="00721262">
            <w:pPr>
              <w:pStyle w:val="TableParagraph"/>
              <w:ind w:left="9"/>
              <w:rPr>
                <w:sz w:val="24"/>
              </w:rPr>
            </w:pPr>
            <w:r>
              <w:rPr>
                <w:sz w:val="24"/>
              </w:rPr>
              <w:t>Ticaret Bakanlığı</w:t>
            </w:r>
          </w:p>
          <w:p w14:paraId="2F70258A" w14:textId="77777777" w:rsidR="00F35E63" w:rsidRDefault="00F35E63" w:rsidP="00721262">
            <w:pPr>
              <w:pStyle w:val="TableParagraph"/>
              <w:spacing w:before="175" w:line="261" w:lineRule="auto"/>
              <w:ind w:left="9" w:right="509"/>
              <w:rPr>
                <w:sz w:val="24"/>
              </w:rPr>
            </w:pPr>
            <w:r>
              <w:rPr>
                <w:sz w:val="24"/>
              </w:rPr>
              <w:t>(</w:t>
            </w:r>
            <w:r>
              <w:rPr>
                <w:i/>
                <w:sz w:val="24"/>
              </w:rPr>
              <w:t>Tüketicinin Korunması ve Piyasa Gözetimi Genel Müdürlüğü</w:t>
            </w:r>
            <w:r>
              <w:rPr>
                <w:sz w:val="24"/>
              </w:rPr>
              <w:t>)</w:t>
            </w:r>
          </w:p>
        </w:tc>
        <w:tc>
          <w:tcPr>
            <w:tcW w:w="5953" w:type="dxa"/>
          </w:tcPr>
          <w:p w14:paraId="7C5CECD5" w14:textId="77777777" w:rsidR="00F35E63" w:rsidRDefault="00F35E63" w:rsidP="00721262">
            <w:pPr>
              <w:pStyle w:val="TableParagraph"/>
              <w:spacing w:before="23" w:line="261" w:lineRule="auto"/>
              <w:ind w:left="7" w:right="-15"/>
              <w:jc w:val="both"/>
              <w:rPr>
                <w:sz w:val="24"/>
              </w:rPr>
            </w:pPr>
            <w:r>
              <w:rPr>
                <w:sz w:val="24"/>
              </w:rPr>
              <w:t>Deterjanlar, oyuncaklar, kimyasal ürünler (dövme mürekkebi, temizleme ve yıkama ürünleri), çocuk bakım ürünleri, düzenlenmemiş alanda yer alan hazır giyim tekstil ve ayakkabı, dekoratif malzemeler, mobilyalar, el aletleri, aygıtlar, hobi ve spor ekipmanları, mutfak/pişirme gereçleri, çakmaklar, kırtasiye ürünleri, çocuk ekipmanları, gıda görünümlü ürünler.</w:t>
            </w:r>
          </w:p>
        </w:tc>
      </w:tr>
      <w:tr w:rsidR="00F35E63" w14:paraId="523F775B" w14:textId="77777777" w:rsidTr="00DE7D56">
        <w:trPr>
          <w:trHeight w:val="450"/>
        </w:trPr>
        <w:tc>
          <w:tcPr>
            <w:tcW w:w="3113" w:type="dxa"/>
            <w:tcBorders>
              <w:bottom w:val="single" w:sz="4" w:space="0" w:color="auto"/>
            </w:tcBorders>
          </w:tcPr>
          <w:p w14:paraId="74DBDB16" w14:textId="77777777" w:rsidR="00F35E63" w:rsidRDefault="00F35E63" w:rsidP="00721262">
            <w:pPr>
              <w:pStyle w:val="TableParagraph"/>
              <w:spacing w:before="23"/>
              <w:ind w:left="9"/>
              <w:rPr>
                <w:sz w:val="24"/>
              </w:rPr>
            </w:pPr>
            <w:r>
              <w:rPr>
                <w:sz w:val="24"/>
              </w:rPr>
              <w:lastRenderedPageBreak/>
              <w:t>Sağlık Bakanlığı</w:t>
            </w:r>
          </w:p>
        </w:tc>
        <w:tc>
          <w:tcPr>
            <w:tcW w:w="5953" w:type="dxa"/>
            <w:tcBorders>
              <w:bottom w:val="single" w:sz="4" w:space="0" w:color="auto"/>
            </w:tcBorders>
          </w:tcPr>
          <w:p w14:paraId="3170DF9E" w14:textId="77777777" w:rsidR="00F35E63" w:rsidRDefault="00F35E63" w:rsidP="00721262">
            <w:pPr>
              <w:pStyle w:val="TableParagraph"/>
              <w:spacing w:before="23"/>
              <w:ind w:left="7"/>
              <w:rPr>
                <w:sz w:val="24"/>
              </w:rPr>
            </w:pPr>
            <w:r>
              <w:rPr>
                <w:sz w:val="24"/>
              </w:rPr>
              <w:t>Kozmetikler, tıbbi cihazlar</w:t>
            </w:r>
          </w:p>
        </w:tc>
      </w:tr>
      <w:tr w:rsidR="00F35E63" w14:paraId="6E9EB482" w14:textId="77777777" w:rsidTr="00DE7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1"/>
        </w:trPr>
        <w:tc>
          <w:tcPr>
            <w:tcW w:w="3113" w:type="dxa"/>
            <w:tcBorders>
              <w:top w:val="single" w:sz="4" w:space="0" w:color="auto"/>
              <w:left w:val="single" w:sz="4" w:space="0" w:color="auto"/>
              <w:bottom w:val="single" w:sz="4" w:space="0" w:color="auto"/>
              <w:right w:val="single" w:sz="4" w:space="0" w:color="auto"/>
            </w:tcBorders>
          </w:tcPr>
          <w:p w14:paraId="67D2B86C" w14:textId="77777777" w:rsidR="00F35E63" w:rsidRDefault="00F35E63" w:rsidP="00721262">
            <w:pPr>
              <w:pStyle w:val="TableParagraph"/>
              <w:spacing w:before="1"/>
              <w:rPr>
                <w:b/>
                <w:sz w:val="28"/>
              </w:rPr>
            </w:pPr>
          </w:p>
          <w:p w14:paraId="19F9E353" w14:textId="77777777" w:rsidR="00F35E63" w:rsidRDefault="00F35E63" w:rsidP="00721262">
            <w:pPr>
              <w:pStyle w:val="TableParagraph"/>
              <w:ind w:left="9"/>
              <w:rPr>
                <w:sz w:val="24"/>
              </w:rPr>
            </w:pPr>
            <w:r>
              <w:rPr>
                <w:sz w:val="24"/>
              </w:rPr>
              <w:t>Tarım ve Orman Bakanlığı</w:t>
            </w:r>
          </w:p>
        </w:tc>
        <w:tc>
          <w:tcPr>
            <w:tcW w:w="5953" w:type="dxa"/>
            <w:tcBorders>
              <w:top w:val="single" w:sz="4" w:space="0" w:color="auto"/>
              <w:left w:val="single" w:sz="4" w:space="0" w:color="auto"/>
              <w:bottom w:val="single" w:sz="4" w:space="0" w:color="auto"/>
              <w:right w:val="single" w:sz="4" w:space="0" w:color="auto"/>
            </w:tcBorders>
          </w:tcPr>
          <w:p w14:paraId="2292A3B2" w14:textId="77777777" w:rsidR="00F35E63" w:rsidRDefault="00F35E63" w:rsidP="00721262">
            <w:pPr>
              <w:pStyle w:val="TableParagraph"/>
              <w:spacing w:before="23" w:line="261" w:lineRule="auto"/>
              <w:ind w:left="7" w:right="-15"/>
              <w:jc w:val="both"/>
              <w:rPr>
                <w:sz w:val="24"/>
              </w:rPr>
            </w:pPr>
            <w:r>
              <w:rPr>
                <w:sz w:val="24"/>
              </w:rPr>
              <w:t>Gıda maddeleri, gıdalarla temas eden madde ve malzemeler, yem, gübreler, bitki koruma ürünleri, veterinerlikte kullanılan tıbbi ürünler, tütün mamulleri ve etil alkol</w:t>
            </w:r>
          </w:p>
        </w:tc>
      </w:tr>
      <w:tr w:rsidR="00F35E63" w14:paraId="34E6DE88" w14:textId="77777777" w:rsidTr="00DE7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3113" w:type="dxa"/>
            <w:tcBorders>
              <w:top w:val="single" w:sz="4" w:space="0" w:color="auto"/>
              <w:left w:val="single" w:sz="4" w:space="0" w:color="auto"/>
              <w:bottom w:val="single" w:sz="4" w:space="0" w:color="auto"/>
              <w:right w:val="single" w:sz="4" w:space="0" w:color="auto"/>
            </w:tcBorders>
          </w:tcPr>
          <w:p w14:paraId="597FDF0E" w14:textId="77777777" w:rsidR="00F35E63" w:rsidRDefault="00F35E63" w:rsidP="00721262">
            <w:pPr>
              <w:pStyle w:val="TableParagraph"/>
              <w:spacing w:before="80"/>
              <w:ind w:left="9"/>
              <w:rPr>
                <w:sz w:val="24"/>
              </w:rPr>
            </w:pPr>
            <w:r>
              <w:rPr>
                <w:sz w:val="24"/>
              </w:rPr>
              <w:t>Çevre ve Şehircilik Bakanlığı</w:t>
            </w:r>
          </w:p>
        </w:tc>
        <w:tc>
          <w:tcPr>
            <w:tcW w:w="5953" w:type="dxa"/>
            <w:tcBorders>
              <w:top w:val="single" w:sz="4" w:space="0" w:color="auto"/>
              <w:left w:val="single" w:sz="4" w:space="0" w:color="auto"/>
              <w:bottom w:val="single" w:sz="4" w:space="0" w:color="auto"/>
              <w:right w:val="single" w:sz="4" w:space="0" w:color="auto"/>
            </w:tcBorders>
          </w:tcPr>
          <w:p w14:paraId="199CF16F" w14:textId="77777777" w:rsidR="00F35E63" w:rsidRDefault="00F35E63" w:rsidP="00721262">
            <w:pPr>
              <w:pStyle w:val="TableParagraph"/>
              <w:spacing w:before="80"/>
              <w:ind w:left="7"/>
              <w:rPr>
                <w:sz w:val="24"/>
              </w:rPr>
            </w:pPr>
            <w:r>
              <w:rPr>
                <w:sz w:val="24"/>
              </w:rPr>
              <w:t>Yapı malzemeleri, katı yakıtlar</w:t>
            </w:r>
          </w:p>
        </w:tc>
      </w:tr>
      <w:tr w:rsidR="00F35E63" w14:paraId="0ED8F60D" w14:textId="77777777" w:rsidTr="00DE7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0"/>
        </w:trPr>
        <w:tc>
          <w:tcPr>
            <w:tcW w:w="3113" w:type="dxa"/>
            <w:tcBorders>
              <w:top w:val="single" w:sz="4" w:space="0" w:color="auto"/>
              <w:left w:val="single" w:sz="4" w:space="0" w:color="auto"/>
              <w:bottom w:val="single" w:sz="4" w:space="0" w:color="auto"/>
              <w:right w:val="single" w:sz="4" w:space="0" w:color="auto"/>
            </w:tcBorders>
          </w:tcPr>
          <w:p w14:paraId="17F3CB85" w14:textId="77777777" w:rsidR="00F35E63" w:rsidRDefault="00F35E63" w:rsidP="00721262">
            <w:pPr>
              <w:pStyle w:val="TableParagraph"/>
              <w:spacing w:before="20" w:line="261" w:lineRule="auto"/>
              <w:ind w:left="9" w:right="196"/>
              <w:rPr>
                <w:sz w:val="24"/>
              </w:rPr>
            </w:pPr>
            <w:r>
              <w:rPr>
                <w:sz w:val="24"/>
              </w:rPr>
              <w:t>Bilgi Teknolojileri ve İletişim Kurumu</w:t>
            </w:r>
          </w:p>
        </w:tc>
        <w:tc>
          <w:tcPr>
            <w:tcW w:w="5953" w:type="dxa"/>
            <w:tcBorders>
              <w:top w:val="single" w:sz="4" w:space="0" w:color="auto"/>
              <w:left w:val="single" w:sz="4" w:space="0" w:color="auto"/>
              <w:bottom w:val="single" w:sz="4" w:space="0" w:color="auto"/>
              <w:right w:val="single" w:sz="4" w:space="0" w:color="auto"/>
            </w:tcBorders>
          </w:tcPr>
          <w:p w14:paraId="7ED3650F" w14:textId="77777777" w:rsidR="00F35E63" w:rsidRDefault="00F35E63" w:rsidP="00721262">
            <w:pPr>
              <w:pStyle w:val="TableParagraph"/>
              <w:spacing w:before="171"/>
              <w:ind w:left="7"/>
              <w:rPr>
                <w:sz w:val="24"/>
              </w:rPr>
            </w:pPr>
            <w:r>
              <w:rPr>
                <w:sz w:val="24"/>
              </w:rPr>
              <w:t>Telsiz ve telekomünikasyon terminal ekipmanları</w:t>
            </w:r>
          </w:p>
        </w:tc>
      </w:tr>
      <w:tr w:rsidR="00F35E63" w14:paraId="25CE5F5B" w14:textId="77777777" w:rsidTr="00DE7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8"/>
        </w:trPr>
        <w:tc>
          <w:tcPr>
            <w:tcW w:w="3113" w:type="dxa"/>
            <w:tcBorders>
              <w:top w:val="single" w:sz="4" w:space="0" w:color="auto"/>
              <w:left w:val="single" w:sz="4" w:space="0" w:color="auto"/>
              <w:bottom w:val="single" w:sz="4" w:space="0" w:color="auto"/>
              <w:right w:val="single" w:sz="4" w:space="0" w:color="auto"/>
            </w:tcBorders>
          </w:tcPr>
          <w:p w14:paraId="3463FF1B" w14:textId="77777777" w:rsidR="00F35E63" w:rsidRDefault="00F35E63" w:rsidP="00721262">
            <w:pPr>
              <w:pStyle w:val="TableParagraph"/>
              <w:spacing w:before="20" w:line="261" w:lineRule="auto"/>
              <w:ind w:left="9" w:right="198"/>
              <w:rPr>
                <w:sz w:val="24"/>
              </w:rPr>
            </w:pPr>
            <w:r>
              <w:rPr>
                <w:sz w:val="24"/>
              </w:rPr>
              <w:t>Aile, Çalışma ve Sosyal Hizmetler Bakanlığı</w:t>
            </w:r>
          </w:p>
        </w:tc>
        <w:tc>
          <w:tcPr>
            <w:tcW w:w="5953" w:type="dxa"/>
            <w:tcBorders>
              <w:top w:val="single" w:sz="4" w:space="0" w:color="auto"/>
              <w:left w:val="single" w:sz="4" w:space="0" w:color="auto"/>
              <w:bottom w:val="single" w:sz="4" w:space="0" w:color="auto"/>
              <w:right w:val="single" w:sz="4" w:space="0" w:color="auto"/>
            </w:tcBorders>
          </w:tcPr>
          <w:p w14:paraId="7B3E72FD" w14:textId="77777777" w:rsidR="00F35E63" w:rsidRDefault="00F35E63" w:rsidP="00721262">
            <w:pPr>
              <w:pStyle w:val="TableParagraph"/>
              <w:spacing w:before="169"/>
              <w:ind w:left="7"/>
              <w:rPr>
                <w:sz w:val="24"/>
              </w:rPr>
            </w:pPr>
            <w:r>
              <w:rPr>
                <w:sz w:val="24"/>
              </w:rPr>
              <w:t>Kişisel koruyucu donanımlar</w:t>
            </w:r>
          </w:p>
        </w:tc>
      </w:tr>
      <w:tr w:rsidR="00F35E63" w14:paraId="51CFF079" w14:textId="77777777" w:rsidTr="00DE7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1"/>
        </w:trPr>
        <w:tc>
          <w:tcPr>
            <w:tcW w:w="3113" w:type="dxa"/>
            <w:tcBorders>
              <w:top w:val="single" w:sz="4" w:space="0" w:color="auto"/>
              <w:left w:val="single" w:sz="4" w:space="0" w:color="auto"/>
              <w:bottom w:val="single" w:sz="4" w:space="0" w:color="auto"/>
              <w:right w:val="single" w:sz="4" w:space="0" w:color="auto"/>
            </w:tcBorders>
          </w:tcPr>
          <w:p w14:paraId="792CDAE1" w14:textId="77777777" w:rsidR="00F35E63" w:rsidRDefault="00F35E63" w:rsidP="00721262">
            <w:pPr>
              <w:pStyle w:val="TableParagraph"/>
              <w:spacing w:before="23"/>
              <w:ind w:left="9"/>
              <w:rPr>
                <w:sz w:val="24"/>
              </w:rPr>
            </w:pPr>
            <w:r>
              <w:rPr>
                <w:sz w:val="24"/>
              </w:rPr>
              <w:t>Ulaştırma ve Altyapı Bakanlığı</w:t>
            </w:r>
          </w:p>
        </w:tc>
        <w:tc>
          <w:tcPr>
            <w:tcW w:w="5953" w:type="dxa"/>
            <w:tcBorders>
              <w:top w:val="single" w:sz="4" w:space="0" w:color="auto"/>
              <w:left w:val="single" w:sz="4" w:space="0" w:color="auto"/>
              <w:bottom w:val="single" w:sz="4" w:space="0" w:color="auto"/>
              <w:right w:val="single" w:sz="4" w:space="0" w:color="auto"/>
            </w:tcBorders>
          </w:tcPr>
          <w:p w14:paraId="48D5EC1D" w14:textId="77777777" w:rsidR="00F35E63" w:rsidRDefault="00F35E63" w:rsidP="00721262">
            <w:pPr>
              <w:pStyle w:val="TableParagraph"/>
              <w:spacing w:before="23"/>
              <w:ind w:left="7"/>
              <w:rPr>
                <w:sz w:val="24"/>
              </w:rPr>
            </w:pPr>
            <w:r>
              <w:rPr>
                <w:sz w:val="24"/>
              </w:rPr>
              <w:t>Gezi tekneleri, gemi teçhizatı</w:t>
            </w:r>
          </w:p>
        </w:tc>
      </w:tr>
      <w:tr w:rsidR="00F35E63" w14:paraId="68F453F1" w14:textId="77777777" w:rsidTr="00DE7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1"/>
        </w:trPr>
        <w:tc>
          <w:tcPr>
            <w:tcW w:w="3113" w:type="dxa"/>
            <w:tcBorders>
              <w:top w:val="single" w:sz="4" w:space="0" w:color="auto"/>
              <w:left w:val="single" w:sz="4" w:space="0" w:color="auto"/>
              <w:bottom w:val="single" w:sz="4" w:space="0" w:color="auto"/>
              <w:right w:val="single" w:sz="4" w:space="0" w:color="auto"/>
            </w:tcBorders>
          </w:tcPr>
          <w:p w14:paraId="314926ED" w14:textId="77777777" w:rsidR="00F35E63" w:rsidRDefault="00F35E63" w:rsidP="00721262">
            <w:pPr>
              <w:pStyle w:val="TableParagraph"/>
              <w:spacing w:before="20" w:line="261" w:lineRule="auto"/>
              <w:ind w:left="9" w:right="483"/>
              <w:rPr>
                <w:sz w:val="24"/>
              </w:rPr>
            </w:pPr>
            <w:r>
              <w:rPr>
                <w:sz w:val="24"/>
              </w:rPr>
              <w:t>Enerji Piyasası Düzenleme Kurumu</w:t>
            </w:r>
          </w:p>
          <w:p w14:paraId="5E672B30" w14:textId="77777777" w:rsidR="00F35E63" w:rsidRDefault="00F35E63" w:rsidP="00721262">
            <w:pPr>
              <w:pStyle w:val="TableParagraph"/>
              <w:spacing w:before="150" w:line="261" w:lineRule="auto"/>
              <w:ind w:left="9" w:right="103"/>
              <w:rPr>
                <w:sz w:val="24"/>
              </w:rPr>
            </w:pPr>
            <w:r>
              <w:rPr>
                <w:sz w:val="24"/>
              </w:rPr>
              <w:t>(</w:t>
            </w:r>
            <w:r>
              <w:rPr>
                <w:i/>
                <w:sz w:val="24"/>
              </w:rPr>
              <w:t>Sanayi ve Teknoloji Bakanlığı Metroloji ve Standardizasyon Genel Müdürlüğü</w:t>
            </w:r>
            <w:r>
              <w:rPr>
                <w:sz w:val="24"/>
              </w:rPr>
              <w:t>)</w:t>
            </w:r>
          </w:p>
        </w:tc>
        <w:tc>
          <w:tcPr>
            <w:tcW w:w="5953" w:type="dxa"/>
            <w:tcBorders>
              <w:top w:val="single" w:sz="4" w:space="0" w:color="auto"/>
              <w:left w:val="single" w:sz="4" w:space="0" w:color="auto"/>
              <w:bottom w:val="single" w:sz="4" w:space="0" w:color="auto"/>
              <w:right w:val="single" w:sz="4" w:space="0" w:color="auto"/>
            </w:tcBorders>
          </w:tcPr>
          <w:p w14:paraId="36F0A927" w14:textId="77777777" w:rsidR="00F35E63" w:rsidRDefault="00F35E63" w:rsidP="00721262">
            <w:pPr>
              <w:pStyle w:val="TableParagraph"/>
              <w:rPr>
                <w:b/>
                <w:sz w:val="26"/>
              </w:rPr>
            </w:pPr>
          </w:p>
          <w:p w14:paraId="49961968" w14:textId="77777777" w:rsidR="00F35E63" w:rsidRDefault="00F35E63" w:rsidP="00721262">
            <w:pPr>
              <w:pStyle w:val="TableParagraph"/>
              <w:spacing w:before="7"/>
              <w:rPr>
                <w:b/>
                <w:sz w:val="34"/>
              </w:rPr>
            </w:pPr>
          </w:p>
          <w:p w14:paraId="1E597543" w14:textId="77777777" w:rsidR="00F35E63" w:rsidRDefault="00F35E63" w:rsidP="00721262">
            <w:pPr>
              <w:pStyle w:val="TableParagraph"/>
              <w:ind w:left="7"/>
              <w:rPr>
                <w:sz w:val="24"/>
              </w:rPr>
            </w:pPr>
            <w:r>
              <w:rPr>
                <w:sz w:val="24"/>
              </w:rPr>
              <w:t>Akaryakıtlar</w:t>
            </w:r>
          </w:p>
        </w:tc>
      </w:tr>
    </w:tbl>
    <w:p w14:paraId="00454522" w14:textId="77777777" w:rsidR="00C2024B" w:rsidRDefault="00C2024B" w:rsidP="00C2024B">
      <w:pPr>
        <w:spacing w:before="60" w:after="60" w:line="240" w:lineRule="auto"/>
        <w:jc w:val="both"/>
        <w:rPr>
          <w:rFonts w:ascii="Times New Roman" w:hAnsi="Times New Roman" w:cs="Times New Roman"/>
          <w:sz w:val="24"/>
          <w:szCs w:val="24"/>
        </w:rPr>
      </w:pPr>
    </w:p>
    <w:p w14:paraId="7C79D123" w14:textId="77777777" w:rsidR="00B1154A" w:rsidRPr="00B1154A" w:rsidRDefault="00B1154A" w:rsidP="00B1154A">
      <w:pPr>
        <w:pStyle w:val="GvdeMetni2"/>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PGD Faaliyetlerine Yönelik Odamızca Yürütülen Çalışmalar</w:t>
      </w:r>
      <w:r w:rsidR="00D228FC">
        <w:rPr>
          <w:rFonts w:ascii="Times New Roman" w:hAnsi="Times New Roman" w:cs="Times New Roman"/>
          <w:b/>
          <w:sz w:val="24"/>
          <w:szCs w:val="24"/>
        </w:rPr>
        <w:t>:</w:t>
      </w:r>
    </w:p>
    <w:p w14:paraId="685916DD" w14:textId="77777777" w:rsidR="004233FC" w:rsidRPr="004233FC" w:rsidRDefault="0085614C" w:rsidP="00B1154A">
      <w:pPr>
        <w:pStyle w:val="GvdeMetni2"/>
        <w:spacing w:before="60" w:after="60" w:line="240" w:lineRule="auto"/>
        <w:jc w:val="both"/>
        <w:rPr>
          <w:rFonts w:ascii="Times New Roman" w:hAnsi="Times New Roman" w:cs="Times New Roman"/>
          <w:sz w:val="24"/>
          <w:szCs w:val="24"/>
        </w:rPr>
      </w:pPr>
      <w:r w:rsidRPr="004233FC">
        <w:rPr>
          <w:rFonts w:ascii="Times New Roman" w:hAnsi="Times New Roman" w:cs="Times New Roman"/>
          <w:sz w:val="24"/>
          <w:szCs w:val="24"/>
        </w:rPr>
        <w:t>A</w:t>
      </w:r>
      <w:r>
        <w:rPr>
          <w:rFonts w:ascii="Times New Roman" w:hAnsi="Times New Roman" w:cs="Times New Roman"/>
          <w:sz w:val="24"/>
          <w:szCs w:val="24"/>
        </w:rPr>
        <w:t>B</w:t>
      </w:r>
      <w:r w:rsidRPr="004233FC">
        <w:rPr>
          <w:rFonts w:ascii="Times New Roman" w:hAnsi="Times New Roman" w:cs="Times New Roman"/>
          <w:sz w:val="24"/>
          <w:szCs w:val="24"/>
        </w:rPr>
        <w:t xml:space="preserve"> teknik mevzuatının hukuk sistemimize entegre edilmesi ile uzun yıllardır gümrük kontrollerinde, standartları referans alan ve standartlara uygunluğun denetlendiği anlayıştan önemli ölçüde vaz geçilmiş, gümrüklerde risk esaslı bir denetim sistemi uygulanmaya başlanmıştır. Bu uygulama ile gümrük denetimlerinde yaşanan gecikmelerin oluşturduğu olumsuzlukların giderilmesi amaçlanmıştır. Ancak, söz konusu dönüşüm, hedeflenen kolaylığı sağlasa da piyasa gözetim ve denetim faaliyetlerinin istenen etkinlik düzeyine ulaşamaması, gümrük denetimleri ile piyasa gözetim denetim faaliyetleri arasında eşgüdümün tam anlamda sağlanamaması gibi sebeplerle, pazara giren kalitesiz ve güvensiz ürünler nedeniyle sanayicimizin ciddi bir haksız rekabet ile karşı karşıya kalmasının önüne geçilememiştir. </w:t>
      </w:r>
    </w:p>
    <w:p w14:paraId="3CCEFAC5" w14:textId="4D9192D1" w:rsidR="00B1154A" w:rsidRDefault="00B1154A" w:rsidP="00B1154A">
      <w:pPr>
        <w:spacing w:before="60" w:after="60" w:line="240" w:lineRule="auto"/>
        <w:jc w:val="both"/>
        <w:rPr>
          <w:rFonts w:ascii="Times New Roman" w:hAnsi="Times New Roman" w:cs="Times New Roman"/>
          <w:sz w:val="24"/>
          <w:szCs w:val="24"/>
        </w:rPr>
      </w:pPr>
      <w:r w:rsidRPr="00B1154A">
        <w:rPr>
          <w:rFonts w:ascii="Times New Roman" w:hAnsi="Times New Roman" w:cs="Times New Roman"/>
          <w:sz w:val="24"/>
          <w:szCs w:val="24"/>
        </w:rPr>
        <w:t>Gümrük alanından başlayarak piyasa gözetim denetim faaliyetlerini de içine alan tüm denetim sürecinin etkinlik düzeyi büyük önem taşımaktadır.</w:t>
      </w:r>
      <w:r>
        <w:rPr>
          <w:rFonts w:ascii="Times New Roman" w:hAnsi="Times New Roman" w:cs="Times New Roman"/>
          <w:sz w:val="24"/>
          <w:szCs w:val="24"/>
        </w:rPr>
        <w:t xml:space="preserve"> Bu bağlamda sanayicilerimizden ülkemizdeki piyasa gözetim ve denetim faaliyetlerinin haksız rekabeti engelleyecek bir seviyede yürütülmesi talebi ile karşı karşıya </w:t>
      </w:r>
      <w:r w:rsidR="003B0631">
        <w:rPr>
          <w:rFonts w:ascii="Times New Roman" w:hAnsi="Times New Roman" w:cs="Times New Roman"/>
          <w:sz w:val="24"/>
          <w:szCs w:val="24"/>
        </w:rPr>
        <w:t xml:space="preserve">kalan Odamız, uzun yıllardır </w:t>
      </w:r>
      <w:r>
        <w:rPr>
          <w:rFonts w:ascii="Times New Roman" w:hAnsi="Times New Roman" w:cs="Times New Roman"/>
          <w:sz w:val="24"/>
          <w:szCs w:val="24"/>
        </w:rPr>
        <w:t xml:space="preserve">birçok platformda </w:t>
      </w:r>
      <w:r w:rsidR="003B0631">
        <w:rPr>
          <w:rFonts w:ascii="Times New Roman" w:hAnsi="Times New Roman" w:cs="Times New Roman"/>
          <w:sz w:val="24"/>
          <w:szCs w:val="24"/>
        </w:rPr>
        <w:t xml:space="preserve">özellikle </w:t>
      </w:r>
      <w:r>
        <w:rPr>
          <w:rFonts w:ascii="Times New Roman" w:hAnsi="Times New Roman" w:cs="Times New Roman"/>
          <w:sz w:val="24"/>
          <w:szCs w:val="24"/>
        </w:rPr>
        <w:t>kamu otoriteleri ile yapılan toplantılarda bu konu</w:t>
      </w:r>
      <w:r w:rsidR="003B0631">
        <w:rPr>
          <w:rFonts w:ascii="Times New Roman" w:hAnsi="Times New Roman" w:cs="Times New Roman"/>
          <w:sz w:val="24"/>
          <w:szCs w:val="24"/>
        </w:rPr>
        <w:t>yu</w:t>
      </w:r>
      <w:r>
        <w:rPr>
          <w:rFonts w:ascii="Times New Roman" w:hAnsi="Times New Roman" w:cs="Times New Roman"/>
          <w:sz w:val="24"/>
          <w:szCs w:val="24"/>
        </w:rPr>
        <w:t xml:space="preserve"> birçok kez gündeme </w:t>
      </w:r>
      <w:r w:rsidR="003B0631">
        <w:rPr>
          <w:rFonts w:ascii="Times New Roman" w:hAnsi="Times New Roman" w:cs="Times New Roman"/>
          <w:sz w:val="24"/>
          <w:szCs w:val="24"/>
        </w:rPr>
        <w:t>getirmiştir. A</w:t>
      </w:r>
      <w:r>
        <w:rPr>
          <w:rFonts w:ascii="Times New Roman" w:hAnsi="Times New Roman" w:cs="Times New Roman"/>
          <w:sz w:val="24"/>
          <w:szCs w:val="24"/>
        </w:rPr>
        <w:t xml:space="preserve">şağıda </w:t>
      </w:r>
      <w:r w:rsidR="00F248D1">
        <w:rPr>
          <w:rFonts w:ascii="Times New Roman" w:hAnsi="Times New Roman" w:cs="Times New Roman"/>
          <w:sz w:val="24"/>
          <w:szCs w:val="24"/>
        </w:rPr>
        <w:t xml:space="preserve">son dönemde </w:t>
      </w:r>
      <w:r w:rsidR="003B0631">
        <w:rPr>
          <w:rFonts w:ascii="Times New Roman" w:hAnsi="Times New Roman" w:cs="Times New Roman"/>
          <w:sz w:val="24"/>
          <w:szCs w:val="24"/>
        </w:rPr>
        <w:t xml:space="preserve">Odamız tarafından </w:t>
      </w:r>
      <w:r>
        <w:rPr>
          <w:rFonts w:ascii="Times New Roman" w:hAnsi="Times New Roman" w:cs="Times New Roman"/>
          <w:sz w:val="24"/>
          <w:szCs w:val="24"/>
        </w:rPr>
        <w:t>konu ile ilgili yapılan çalışmalar özetlenmektedir.</w:t>
      </w:r>
    </w:p>
    <w:p w14:paraId="5F5C76DF" w14:textId="5995DEFC" w:rsidR="00F11CDF" w:rsidRPr="00CB5C47" w:rsidRDefault="00F11CDF" w:rsidP="00AD57CF">
      <w:pPr>
        <w:pStyle w:val="NormalWeb"/>
        <w:numPr>
          <w:ilvl w:val="0"/>
          <w:numId w:val="2"/>
        </w:numPr>
        <w:spacing w:before="120" w:after="120"/>
        <w:ind w:left="714"/>
        <w:jc w:val="both"/>
      </w:pPr>
      <w:r w:rsidRPr="00CB5C47">
        <w:t>“Ülkemizde ve AB Ülkelerinde Uygulanan PGD Çalışmaları ve Yeni Sistem Önerileri” konulu bir araştırma raporu hazırlanmış 23.10.2019 tarihinde</w:t>
      </w:r>
      <w:r w:rsidR="00CB5C47" w:rsidRPr="00CB5C47">
        <w:t xml:space="preserve"> </w:t>
      </w:r>
      <w:bookmarkStart w:id="0" w:name="_GoBack"/>
      <w:bookmarkEnd w:id="0"/>
      <w:r w:rsidR="00CB5C47" w:rsidRPr="00CB5C47">
        <w:t>Yönetim Kurulu Başkan Yrd.</w:t>
      </w:r>
      <w:r w:rsidRPr="00CB5C47">
        <w:t xml:space="preserve"> </w:t>
      </w:r>
      <w:r w:rsidR="00CB5C47" w:rsidRPr="00CB5C47">
        <w:t xml:space="preserve">Sadık Ayhan Saruhan </w:t>
      </w:r>
      <w:r w:rsidR="00CB5C47">
        <w:t xml:space="preserve">ve </w:t>
      </w:r>
      <w:r w:rsidR="00CB5C47" w:rsidRPr="00D74887">
        <w:t>Gümrük ve Dış Ticaret İç Ticaret ve Piyasa Gözetim ve Denetimi Meclis Çalışma Grubu Başkanı Gökhan Turhan</w:t>
      </w:r>
      <w:r w:rsidR="00CB5C47" w:rsidRPr="00CB5C47">
        <w:t xml:space="preserve"> </w:t>
      </w:r>
      <w:r w:rsidRPr="00CB5C47">
        <w:t>iştirak ettiği toplantıda, Sanayi ve Teknoloji Bakanlığı yetkilileri ile paylaşılmıştır.</w:t>
      </w:r>
      <w:r w:rsidR="00D74887" w:rsidRPr="00CB5C47">
        <w:t xml:space="preserve"> </w:t>
      </w:r>
      <w:r w:rsidRPr="00CB5C47">
        <w:t xml:space="preserve">Toplantıda; Bakanlıkça piyasa gözetim ve denetimi konusunda yapılan çalışmalar ve bundan sonraki projeleri hakkında bilgilendirme yapılmış, sanayicilerimiz tarafından ise sektörlerin yaşadığı sorunları ve çözüm önerileri gündeme getirilmiştir. Toplantı sonucunda, Odamız ile Bakanlık arasında konu ile ilgili işbirliğinin artırılması ve çalışmaların devam etmesi konusunda mutabık kalınmıştır. </w:t>
      </w:r>
    </w:p>
    <w:p w14:paraId="79492791" w14:textId="77777777" w:rsidR="0095591E" w:rsidRPr="00D74887" w:rsidRDefault="0095591E" w:rsidP="0095591E">
      <w:pPr>
        <w:pStyle w:val="ListeParagraf"/>
        <w:spacing w:before="120" w:after="120" w:line="240" w:lineRule="auto"/>
        <w:ind w:left="714"/>
        <w:jc w:val="both"/>
        <w:rPr>
          <w:rFonts w:ascii="Times New Roman" w:hAnsi="Times New Roman" w:cs="Times New Roman"/>
          <w:sz w:val="24"/>
          <w:szCs w:val="24"/>
        </w:rPr>
      </w:pPr>
    </w:p>
    <w:p w14:paraId="067FEEB9" w14:textId="7B932348" w:rsidR="00560200" w:rsidRDefault="00D74887" w:rsidP="00D74887">
      <w:pPr>
        <w:pStyle w:val="ListeParagraf"/>
        <w:numPr>
          <w:ilvl w:val="0"/>
          <w:numId w:val="2"/>
        </w:numPr>
        <w:spacing w:before="120" w:after="120"/>
        <w:ind w:left="714" w:hanging="357"/>
        <w:jc w:val="both"/>
        <w:rPr>
          <w:rFonts w:ascii="Times New Roman" w:hAnsi="Times New Roman" w:cs="Times New Roman"/>
          <w:sz w:val="24"/>
          <w:szCs w:val="24"/>
        </w:rPr>
      </w:pPr>
      <w:r w:rsidRPr="00D74887">
        <w:rPr>
          <w:rFonts w:ascii="Times New Roman" w:hAnsi="Times New Roman" w:cs="Times New Roman"/>
          <w:sz w:val="24"/>
          <w:szCs w:val="24"/>
        </w:rPr>
        <w:t>Bu mutabakat çerçevesinde, Sanayi ve Teknoloji Bakanlığı ve Odamızın sektör temsilcileri bir araya gelerek 2020 yılına yönelik PGD planlaması katkıda bulunmak amacıyla 18.11.2019 tarihinde Odakule</w:t>
      </w:r>
      <w:r w:rsidR="004D61E8">
        <w:rPr>
          <w:rFonts w:ascii="Times New Roman" w:hAnsi="Times New Roman" w:cs="Times New Roman"/>
          <w:sz w:val="24"/>
          <w:szCs w:val="24"/>
        </w:rPr>
        <w:t>´</w:t>
      </w:r>
      <w:r w:rsidRPr="00D74887">
        <w:rPr>
          <w:rFonts w:ascii="Times New Roman" w:hAnsi="Times New Roman" w:cs="Times New Roman"/>
          <w:sz w:val="24"/>
          <w:szCs w:val="24"/>
        </w:rPr>
        <w:t xml:space="preserve">de Sanayi ve Teknoloji Bakanlığı Sanayi Ürünleri Güvenliği ve Denetimi Genel Müdürü Mehmet </w:t>
      </w:r>
      <w:r w:rsidR="00560200" w:rsidRPr="00D74887">
        <w:rPr>
          <w:rFonts w:ascii="Times New Roman" w:hAnsi="Times New Roman" w:cs="Times New Roman"/>
          <w:sz w:val="24"/>
          <w:szCs w:val="24"/>
        </w:rPr>
        <w:t>Bozdemir</w:t>
      </w:r>
      <w:r w:rsidRPr="00D74887">
        <w:rPr>
          <w:rFonts w:ascii="Times New Roman" w:hAnsi="Times New Roman" w:cs="Times New Roman"/>
          <w:sz w:val="24"/>
          <w:szCs w:val="24"/>
        </w:rPr>
        <w:t xml:space="preserve"> ve ilgili diğer bürokratların katılımı ile bir toplantı gerçekleştirilmiştir. Toplantıya İSO Meclis Üyesi ve Gümrük ve Dış Ticaret İç Ticaret ve Piyasa Gözetim ve Denetimi Meclis Çalışma Grubu Başkanı Sayın Gökhan </w:t>
      </w:r>
      <w:r w:rsidR="00560200" w:rsidRPr="00D74887">
        <w:rPr>
          <w:rFonts w:ascii="Times New Roman" w:hAnsi="Times New Roman" w:cs="Times New Roman"/>
          <w:sz w:val="24"/>
          <w:szCs w:val="24"/>
        </w:rPr>
        <w:t xml:space="preserve">Turhan </w:t>
      </w:r>
      <w:r w:rsidRPr="00D74887">
        <w:rPr>
          <w:rFonts w:ascii="Times New Roman" w:hAnsi="Times New Roman" w:cs="Times New Roman"/>
          <w:sz w:val="24"/>
          <w:szCs w:val="24"/>
        </w:rPr>
        <w:t xml:space="preserve">Başkanlık etmiştir. Toplantıya, Meslek Komitesi üyelerimiz ile sektör dernek temsilcileri katılım göstermişlerdir. </w:t>
      </w:r>
    </w:p>
    <w:p w14:paraId="74F5EB39" w14:textId="77777777" w:rsidR="0095591E" w:rsidRPr="0095591E" w:rsidRDefault="0095591E" w:rsidP="0095591E">
      <w:pPr>
        <w:pStyle w:val="ListeParagraf"/>
        <w:rPr>
          <w:rFonts w:ascii="Times New Roman" w:hAnsi="Times New Roman" w:cs="Times New Roman"/>
          <w:sz w:val="24"/>
          <w:szCs w:val="24"/>
        </w:rPr>
      </w:pPr>
    </w:p>
    <w:p w14:paraId="194DD681" w14:textId="77777777" w:rsidR="00D74887" w:rsidRDefault="00560200" w:rsidP="00D74887">
      <w:pPr>
        <w:pStyle w:val="ListeParagraf"/>
        <w:numPr>
          <w:ilvl w:val="0"/>
          <w:numId w:val="2"/>
        </w:numPr>
        <w:spacing w:before="120" w:after="120"/>
        <w:ind w:left="714" w:hanging="357"/>
        <w:jc w:val="both"/>
        <w:rPr>
          <w:rFonts w:ascii="Times New Roman" w:hAnsi="Times New Roman" w:cs="Times New Roman"/>
          <w:sz w:val="24"/>
          <w:szCs w:val="24"/>
        </w:rPr>
      </w:pPr>
      <w:r>
        <w:rPr>
          <w:rFonts w:ascii="Times New Roman" w:hAnsi="Times New Roman" w:cs="Times New Roman"/>
          <w:sz w:val="24"/>
          <w:szCs w:val="24"/>
        </w:rPr>
        <w:t>S</w:t>
      </w:r>
      <w:r w:rsidR="00D74887" w:rsidRPr="00D74887">
        <w:rPr>
          <w:rFonts w:ascii="Times New Roman" w:hAnsi="Times New Roman" w:cs="Times New Roman"/>
          <w:sz w:val="24"/>
          <w:szCs w:val="24"/>
        </w:rPr>
        <w:t>öz konusu Toplantı akabinde ayrıca, Odamızın ülkemizdeki PGD faaliyetlerine ilişkin görüş ve tespitleri ile Sanayi ve Teknoloji Bakanlığı denetim sorumluluğunda olan ürünlere ilişkin sektör görüşleri derlenerek Bakanlığa yazılı olarak iletilmiştir.</w:t>
      </w:r>
    </w:p>
    <w:p w14:paraId="5A2AE2CF" w14:textId="77777777" w:rsidR="00230B60" w:rsidRPr="00230B60" w:rsidRDefault="00230B60" w:rsidP="00230B60">
      <w:pPr>
        <w:pStyle w:val="ListeParagraf"/>
        <w:rPr>
          <w:rFonts w:ascii="Times New Roman" w:hAnsi="Times New Roman" w:cs="Times New Roman"/>
          <w:sz w:val="24"/>
          <w:szCs w:val="24"/>
        </w:rPr>
      </w:pPr>
    </w:p>
    <w:p w14:paraId="3A4C1822" w14:textId="7CD93299" w:rsidR="00230B60" w:rsidRPr="00D74887" w:rsidRDefault="00230B60" w:rsidP="00D74887">
      <w:pPr>
        <w:pStyle w:val="ListeParagraf"/>
        <w:numPr>
          <w:ilvl w:val="0"/>
          <w:numId w:val="2"/>
        </w:numPr>
        <w:spacing w:before="120" w:after="120"/>
        <w:ind w:left="714" w:hanging="357"/>
        <w:jc w:val="both"/>
        <w:rPr>
          <w:rFonts w:ascii="Times New Roman" w:hAnsi="Times New Roman" w:cs="Times New Roman"/>
          <w:sz w:val="24"/>
          <w:szCs w:val="24"/>
        </w:rPr>
      </w:pPr>
      <w:r>
        <w:rPr>
          <w:rFonts w:ascii="Times New Roman" w:hAnsi="Times New Roman" w:cs="Times New Roman"/>
          <w:sz w:val="24"/>
          <w:szCs w:val="24"/>
        </w:rPr>
        <w:t>Ülkemizde PGD faaliyetlerine ilişkin sorun ve çözüm önerilerinin değerlendirilmesi amacıyla Sanayi ve Teknoloji Bakanlığı ile yapılan istişare toplantısının bir benzeri</w:t>
      </w:r>
      <w:r w:rsidR="004D61E8">
        <w:rPr>
          <w:rFonts w:ascii="Times New Roman" w:hAnsi="Times New Roman" w:cs="Times New Roman"/>
          <w:sz w:val="24"/>
          <w:szCs w:val="24"/>
        </w:rPr>
        <w:t>nin</w:t>
      </w:r>
      <w:r>
        <w:rPr>
          <w:rFonts w:ascii="Times New Roman" w:hAnsi="Times New Roman" w:cs="Times New Roman"/>
          <w:sz w:val="24"/>
          <w:szCs w:val="24"/>
        </w:rPr>
        <w:t xml:space="preserve"> 20 Nisan 2020 tarihinde Ticaret Bakanlığı Ürün Güvenliği ve Denetimi Genel Müdürlüğü ve Tüketicinin Korunması ve Piyasa Gözetimi ve Denetimi Genel Müdürlüğü yetkililerinin katılımıyla 2. İstişare toplantısı </w:t>
      </w:r>
      <w:r w:rsidR="00031063">
        <w:rPr>
          <w:rFonts w:ascii="Times New Roman" w:hAnsi="Times New Roman" w:cs="Times New Roman"/>
          <w:sz w:val="24"/>
          <w:szCs w:val="24"/>
        </w:rPr>
        <w:t xml:space="preserve">olarak gerçekleştirilmesi </w:t>
      </w:r>
      <w:r>
        <w:rPr>
          <w:rFonts w:ascii="Times New Roman" w:hAnsi="Times New Roman" w:cs="Times New Roman"/>
          <w:sz w:val="24"/>
          <w:szCs w:val="24"/>
        </w:rPr>
        <w:t>planlanmıştır.</w:t>
      </w:r>
    </w:p>
    <w:p w14:paraId="1446B0A3" w14:textId="77777777" w:rsidR="00DE7D56" w:rsidRPr="0095591E" w:rsidRDefault="0095591E" w:rsidP="00D74887">
      <w:pPr>
        <w:spacing w:before="60" w:after="120" w:line="240" w:lineRule="auto"/>
        <w:jc w:val="both"/>
        <w:rPr>
          <w:rFonts w:ascii="Times New Roman" w:hAnsi="Times New Roman" w:cs="Times New Roman"/>
          <w:sz w:val="24"/>
          <w:szCs w:val="24"/>
        </w:rPr>
      </w:pPr>
      <w:r w:rsidRPr="0095591E">
        <w:rPr>
          <w:rFonts w:ascii="Times New Roman" w:hAnsi="Times New Roman" w:cs="Times New Roman"/>
          <w:b/>
          <w:sz w:val="24"/>
          <w:szCs w:val="24"/>
        </w:rPr>
        <w:t xml:space="preserve">Ek: </w:t>
      </w:r>
      <w:r w:rsidRPr="0095591E">
        <w:rPr>
          <w:rFonts w:ascii="Times New Roman" w:hAnsi="Times New Roman" w:cs="Times New Roman"/>
          <w:sz w:val="24"/>
          <w:szCs w:val="24"/>
        </w:rPr>
        <w:t>Bakanlığa iletilen görüş.</w:t>
      </w:r>
    </w:p>
    <w:p w14:paraId="76F32059" w14:textId="77777777" w:rsidR="000F29DD" w:rsidRPr="00F11CDF" w:rsidRDefault="000F29DD" w:rsidP="00D74887">
      <w:pPr>
        <w:spacing w:before="60" w:after="60" w:line="240" w:lineRule="auto"/>
        <w:jc w:val="both"/>
        <w:rPr>
          <w:rFonts w:ascii="Times New Roman" w:hAnsi="Times New Roman" w:cs="Times New Roman"/>
          <w:sz w:val="24"/>
          <w:szCs w:val="24"/>
        </w:rPr>
      </w:pPr>
    </w:p>
    <w:sectPr w:rsidR="000F29DD" w:rsidRPr="00F11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A77"/>
    <w:multiLevelType w:val="hybridMultilevel"/>
    <w:tmpl w:val="B6B01762"/>
    <w:lvl w:ilvl="0" w:tplc="542235BE">
      <w:start w:val="1"/>
      <w:numFmt w:val="bullet"/>
      <w:lvlText w:val="•"/>
      <w:lvlJc w:val="left"/>
      <w:pPr>
        <w:tabs>
          <w:tab w:val="num" w:pos="720"/>
        </w:tabs>
        <w:ind w:left="720" w:hanging="360"/>
      </w:pPr>
      <w:rPr>
        <w:rFonts w:ascii="Arial" w:hAnsi="Arial" w:hint="default"/>
      </w:rPr>
    </w:lvl>
    <w:lvl w:ilvl="1" w:tplc="2FB6E620" w:tentative="1">
      <w:start w:val="1"/>
      <w:numFmt w:val="bullet"/>
      <w:lvlText w:val="•"/>
      <w:lvlJc w:val="left"/>
      <w:pPr>
        <w:tabs>
          <w:tab w:val="num" w:pos="1440"/>
        </w:tabs>
        <w:ind w:left="1440" w:hanging="360"/>
      </w:pPr>
      <w:rPr>
        <w:rFonts w:ascii="Arial" w:hAnsi="Arial" w:hint="default"/>
      </w:rPr>
    </w:lvl>
    <w:lvl w:ilvl="2" w:tplc="0540BAE6" w:tentative="1">
      <w:start w:val="1"/>
      <w:numFmt w:val="bullet"/>
      <w:lvlText w:val="•"/>
      <w:lvlJc w:val="left"/>
      <w:pPr>
        <w:tabs>
          <w:tab w:val="num" w:pos="2160"/>
        </w:tabs>
        <w:ind w:left="2160" w:hanging="360"/>
      </w:pPr>
      <w:rPr>
        <w:rFonts w:ascii="Arial" w:hAnsi="Arial" w:hint="default"/>
      </w:rPr>
    </w:lvl>
    <w:lvl w:ilvl="3" w:tplc="A52C3566" w:tentative="1">
      <w:start w:val="1"/>
      <w:numFmt w:val="bullet"/>
      <w:lvlText w:val="•"/>
      <w:lvlJc w:val="left"/>
      <w:pPr>
        <w:tabs>
          <w:tab w:val="num" w:pos="2880"/>
        </w:tabs>
        <w:ind w:left="2880" w:hanging="360"/>
      </w:pPr>
      <w:rPr>
        <w:rFonts w:ascii="Arial" w:hAnsi="Arial" w:hint="default"/>
      </w:rPr>
    </w:lvl>
    <w:lvl w:ilvl="4" w:tplc="133E9928" w:tentative="1">
      <w:start w:val="1"/>
      <w:numFmt w:val="bullet"/>
      <w:lvlText w:val="•"/>
      <w:lvlJc w:val="left"/>
      <w:pPr>
        <w:tabs>
          <w:tab w:val="num" w:pos="3600"/>
        </w:tabs>
        <w:ind w:left="3600" w:hanging="360"/>
      </w:pPr>
      <w:rPr>
        <w:rFonts w:ascii="Arial" w:hAnsi="Arial" w:hint="default"/>
      </w:rPr>
    </w:lvl>
    <w:lvl w:ilvl="5" w:tplc="194CB918" w:tentative="1">
      <w:start w:val="1"/>
      <w:numFmt w:val="bullet"/>
      <w:lvlText w:val="•"/>
      <w:lvlJc w:val="left"/>
      <w:pPr>
        <w:tabs>
          <w:tab w:val="num" w:pos="4320"/>
        </w:tabs>
        <w:ind w:left="4320" w:hanging="360"/>
      </w:pPr>
      <w:rPr>
        <w:rFonts w:ascii="Arial" w:hAnsi="Arial" w:hint="default"/>
      </w:rPr>
    </w:lvl>
    <w:lvl w:ilvl="6" w:tplc="82C8A4E6" w:tentative="1">
      <w:start w:val="1"/>
      <w:numFmt w:val="bullet"/>
      <w:lvlText w:val="•"/>
      <w:lvlJc w:val="left"/>
      <w:pPr>
        <w:tabs>
          <w:tab w:val="num" w:pos="5040"/>
        </w:tabs>
        <w:ind w:left="5040" w:hanging="360"/>
      </w:pPr>
      <w:rPr>
        <w:rFonts w:ascii="Arial" w:hAnsi="Arial" w:hint="default"/>
      </w:rPr>
    </w:lvl>
    <w:lvl w:ilvl="7" w:tplc="96D00E7A" w:tentative="1">
      <w:start w:val="1"/>
      <w:numFmt w:val="bullet"/>
      <w:lvlText w:val="•"/>
      <w:lvlJc w:val="left"/>
      <w:pPr>
        <w:tabs>
          <w:tab w:val="num" w:pos="5760"/>
        </w:tabs>
        <w:ind w:left="5760" w:hanging="360"/>
      </w:pPr>
      <w:rPr>
        <w:rFonts w:ascii="Arial" w:hAnsi="Arial" w:hint="default"/>
      </w:rPr>
    </w:lvl>
    <w:lvl w:ilvl="8" w:tplc="DE2001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887529"/>
    <w:multiLevelType w:val="hybridMultilevel"/>
    <w:tmpl w:val="AC5E27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5E4E2D"/>
    <w:multiLevelType w:val="hybridMultilevel"/>
    <w:tmpl w:val="C0CA8FF8"/>
    <w:lvl w:ilvl="0" w:tplc="B728EEFA">
      <w:start w:val="1"/>
      <w:numFmt w:val="bullet"/>
      <w:lvlText w:val="•"/>
      <w:lvlJc w:val="left"/>
      <w:pPr>
        <w:tabs>
          <w:tab w:val="num" w:pos="720"/>
        </w:tabs>
        <w:ind w:left="720" w:hanging="360"/>
      </w:pPr>
      <w:rPr>
        <w:rFonts w:ascii="Arial" w:hAnsi="Arial" w:hint="default"/>
      </w:rPr>
    </w:lvl>
    <w:lvl w:ilvl="1" w:tplc="9BF693F2" w:tentative="1">
      <w:start w:val="1"/>
      <w:numFmt w:val="bullet"/>
      <w:lvlText w:val="•"/>
      <w:lvlJc w:val="left"/>
      <w:pPr>
        <w:tabs>
          <w:tab w:val="num" w:pos="1440"/>
        </w:tabs>
        <w:ind w:left="1440" w:hanging="360"/>
      </w:pPr>
      <w:rPr>
        <w:rFonts w:ascii="Arial" w:hAnsi="Arial" w:hint="default"/>
      </w:rPr>
    </w:lvl>
    <w:lvl w:ilvl="2" w:tplc="266A38F2" w:tentative="1">
      <w:start w:val="1"/>
      <w:numFmt w:val="bullet"/>
      <w:lvlText w:val="•"/>
      <w:lvlJc w:val="left"/>
      <w:pPr>
        <w:tabs>
          <w:tab w:val="num" w:pos="2160"/>
        </w:tabs>
        <w:ind w:left="2160" w:hanging="360"/>
      </w:pPr>
      <w:rPr>
        <w:rFonts w:ascii="Arial" w:hAnsi="Arial" w:hint="default"/>
      </w:rPr>
    </w:lvl>
    <w:lvl w:ilvl="3" w:tplc="27E038CE" w:tentative="1">
      <w:start w:val="1"/>
      <w:numFmt w:val="bullet"/>
      <w:lvlText w:val="•"/>
      <w:lvlJc w:val="left"/>
      <w:pPr>
        <w:tabs>
          <w:tab w:val="num" w:pos="2880"/>
        </w:tabs>
        <w:ind w:left="2880" w:hanging="360"/>
      </w:pPr>
      <w:rPr>
        <w:rFonts w:ascii="Arial" w:hAnsi="Arial" w:hint="default"/>
      </w:rPr>
    </w:lvl>
    <w:lvl w:ilvl="4" w:tplc="90C8B05C" w:tentative="1">
      <w:start w:val="1"/>
      <w:numFmt w:val="bullet"/>
      <w:lvlText w:val="•"/>
      <w:lvlJc w:val="left"/>
      <w:pPr>
        <w:tabs>
          <w:tab w:val="num" w:pos="3600"/>
        </w:tabs>
        <w:ind w:left="3600" w:hanging="360"/>
      </w:pPr>
      <w:rPr>
        <w:rFonts w:ascii="Arial" w:hAnsi="Arial" w:hint="default"/>
      </w:rPr>
    </w:lvl>
    <w:lvl w:ilvl="5" w:tplc="6304F9FC" w:tentative="1">
      <w:start w:val="1"/>
      <w:numFmt w:val="bullet"/>
      <w:lvlText w:val="•"/>
      <w:lvlJc w:val="left"/>
      <w:pPr>
        <w:tabs>
          <w:tab w:val="num" w:pos="4320"/>
        </w:tabs>
        <w:ind w:left="4320" w:hanging="360"/>
      </w:pPr>
      <w:rPr>
        <w:rFonts w:ascii="Arial" w:hAnsi="Arial" w:hint="default"/>
      </w:rPr>
    </w:lvl>
    <w:lvl w:ilvl="6" w:tplc="F0742580" w:tentative="1">
      <w:start w:val="1"/>
      <w:numFmt w:val="bullet"/>
      <w:lvlText w:val="•"/>
      <w:lvlJc w:val="left"/>
      <w:pPr>
        <w:tabs>
          <w:tab w:val="num" w:pos="5040"/>
        </w:tabs>
        <w:ind w:left="5040" w:hanging="360"/>
      </w:pPr>
      <w:rPr>
        <w:rFonts w:ascii="Arial" w:hAnsi="Arial" w:hint="default"/>
      </w:rPr>
    </w:lvl>
    <w:lvl w:ilvl="7" w:tplc="FA40F266" w:tentative="1">
      <w:start w:val="1"/>
      <w:numFmt w:val="bullet"/>
      <w:lvlText w:val="•"/>
      <w:lvlJc w:val="left"/>
      <w:pPr>
        <w:tabs>
          <w:tab w:val="num" w:pos="5760"/>
        </w:tabs>
        <w:ind w:left="5760" w:hanging="360"/>
      </w:pPr>
      <w:rPr>
        <w:rFonts w:ascii="Arial" w:hAnsi="Arial" w:hint="default"/>
      </w:rPr>
    </w:lvl>
    <w:lvl w:ilvl="8" w:tplc="BD96A6F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DF"/>
    <w:rsid w:val="00002146"/>
    <w:rsid w:val="00031063"/>
    <w:rsid w:val="000F29DD"/>
    <w:rsid w:val="000F5B5A"/>
    <w:rsid w:val="00230B60"/>
    <w:rsid w:val="003B0631"/>
    <w:rsid w:val="004233FC"/>
    <w:rsid w:val="004B467B"/>
    <w:rsid w:val="004D61E8"/>
    <w:rsid w:val="00560200"/>
    <w:rsid w:val="005B07F7"/>
    <w:rsid w:val="0085614C"/>
    <w:rsid w:val="009456FF"/>
    <w:rsid w:val="0095591E"/>
    <w:rsid w:val="00A95A03"/>
    <w:rsid w:val="00B1154A"/>
    <w:rsid w:val="00C2024B"/>
    <w:rsid w:val="00CA506E"/>
    <w:rsid w:val="00CB5C47"/>
    <w:rsid w:val="00D228FC"/>
    <w:rsid w:val="00D74887"/>
    <w:rsid w:val="00DE7D56"/>
    <w:rsid w:val="00F11CDF"/>
    <w:rsid w:val="00F248D1"/>
    <w:rsid w:val="00F35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DA39"/>
  <w15:chartTrackingRefBased/>
  <w15:docId w15:val="{6B23DA1C-1503-461E-A6A2-15342394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2024B"/>
    <w:pPr>
      <w:widowControl w:val="0"/>
      <w:autoSpaceDE w:val="0"/>
      <w:autoSpaceDN w:val="0"/>
      <w:spacing w:after="0" w:line="240" w:lineRule="auto"/>
      <w:ind w:left="116"/>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C2024B"/>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F35E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5E63"/>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GvdeMetni2">
    <w:name w:val="Body Text 2"/>
    <w:basedOn w:val="Normal"/>
    <w:link w:val="GvdeMetni2Char"/>
    <w:uiPriority w:val="99"/>
    <w:semiHidden/>
    <w:unhideWhenUsed/>
    <w:rsid w:val="004233FC"/>
    <w:pPr>
      <w:spacing w:after="120" w:line="480" w:lineRule="auto"/>
    </w:pPr>
  </w:style>
  <w:style w:type="character" w:customStyle="1" w:styleId="GvdeMetni2Char">
    <w:name w:val="Gövde Metni 2 Char"/>
    <w:basedOn w:val="VarsaylanParagrafYazTipi"/>
    <w:link w:val="GvdeMetni2"/>
    <w:uiPriority w:val="99"/>
    <w:semiHidden/>
    <w:rsid w:val="004233FC"/>
  </w:style>
  <w:style w:type="paragraph" w:styleId="ListeParagraf">
    <w:name w:val="List Paragraph"/>
    <w:basedOn w:val="Normal"/>
    <w:uiPriority w:val="34"/>
    <w:qFormat/>
    <w:rsid w:val="00B1154A"/>
    <w:pPr>
      <w:ind w:left="720"/>
      <w:contextualSpacing/>
    </w:pPr>
  </w:style>
  <w:style w:type="paragraph" w:styleId="BalonMetni">
    <w:name w:val="Balloon Text"/>
    <w:basedOn w:val="Normal"/>
    <w:link w:val="BalonMetniChar"/>
    <w:uiPriority w:val="99"/>
    <w:semiHidden/>
    <w:unhideWhenUsed/>
    <w:rsid w:val="003B06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0631"/>
    <w:rPr>
      <w:rFonts w:ascii="Segoe UI" w:hAnsi="Segoe UI" w:cs="Segoe UI"/>
      <w:sz w:val="18"/>
      <w:szCs w:val="18"/>
    </w:rPr>
  </w:style>
  <w:style w:type="paragraph" w:styleId="NormalWeb">
    <w:name w:val="Normal (Web)"/>
    <w:basedOn w:val="Normal"/>
    <w:uiPriority w:val="99"/>
    <w:unhideWhenUsed/>
    <w:rsid w:val="00CB5C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van">
    <w:name w:val="unvan"/>
    <w:basedOn w:val="VarsaylanParagrafYazTipi"/>
    <w:rsid w:val="00CB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224">
      <w:bodyDiv w:val="1"/>
      <w:marLeft w:val="0"/>
      <w:marRight w:val="0"/>
      <w:marTop w:val="0"/>
      <w:marBottom w:val="0"/>
      <w:divBdr>
        <w:top w:val="none" w:sz="0" w:space="0" w:color="auto"/>
        <w:left w:val="none" w:sz="0" w:space="0" w:color="auto"/>
        <w:bottom w:val="none" w:sz="0" w:space="0" w:color="auto"/>
        <w:right w:val="none" w:sz="0" w:space="0" w:color="auto"/>
      </w:divBdr>
      <w:divsChild>
        <w:div w:id="945775276">
          <w:marLeft w:val="0"/>
          <w:marRight w:val="0"/>
          <w:marTop w:val="0"/>
          <w:marBottom w:val="0"/>
          <w:divBdr>
            <w:top w:val="none" w:sz="0" w:space="0" w:color="auto"/>
            <w:left w:val="none" w:sz="0" w:space="0" w:color="auto"/>
            <w:bottom w:val="none" w:sz="0" w:space="0" w:color="auto"/>
            <w:right w:val="none" w:sz="0" w:space="0" w:color="auto"/>
          </w:divBdr>
          <w:divsChild>
            <w:div w:id="1198395454">
              <w:marLeft w:val="0"/>
              <w:marRight w:val="0"/>
              <w:marTop w:val="0"/>
              <w:marBottom w:val="0"/>
              <w:divBdr>
                <w:top w:val="none" w:sz="0" w:space="0" w:color="auto"/>
                <w:left w:val="none" w:sz="0" w:space="0" w:color="auto"/>
                <w:bottom w:val="none" w:sz="0" w:space="0" w:color="auto"/>
                <w:right w:val="none" w:sz="0" w:space="0" w:color="auto"/>
              </w:divBdr>
              <w:divsChild>
                <w:div w:id="910239915">
                  <w:marLeft w:val="0"/>
                  <w:marRight w:val="0"/>
                  <w:marTop w:val="0"/>
                  <w:marBottom w:val="0"/>
                  <w:divBdr>
                    <w:top w:val="none" w:sz="0" w:space="0" w:color="auto"/>
                    <w:left w:val="none" w:sz="0" w:space="0" w:color="auto"/>
                    <w:bottom w:val="none" w:sz="0" w:space="0" w:color="auto"/>
                    <w:right w:val="none" w:sz="0" w:space="0" w:color="auto"/>
                  </w:divBdr>
                  <w:divsChild>
                    <w:div w:id="1730373100">
                      <w:marLeft w:val="0"/>
                      <w:marRight w:val="0"/>
                      <w:marTop w:val="0"/>
                      <w:marBottom w:val="0"/>
                      <w:divBdr>
                        <w:top w:val="none" w:sz="0" w:space="0" w:color="auto"/>
                        <w:left w:val="none" w:sz="0" w:space="0" w:color="auto"/>
                        <w:bottom w:val="none" w:sz="0" w:space="0" w:color="auto"/>
                        <w:right w:val="none" w:sz="0" w:space="0" w:color="auto"/>
                      </w:divBdr>
                      <w:divsChild>
                        <w:div w:id="360281596">
                          <w:marLeft w:val="0"/>
                          <w:marRight w:val="0"/>
                          <w:marTop w:val="0"/>
                          <w:marBottom w:val="0"/>
                          <w:divBdr>
                            <w:top w:val="none" w:sz="0" w:space="0" w:color="auto"/>
                            <w:left w:val="none" w:sz="0" w:space="0" w:color="auto"/>
                            <w:bottom w:val="none" w:sz="0" w:space="0" w:color="auto"/>
                            <w:right w:val="none" w:sz="0" w:space="0" w:color="auto"/>
                          </w:divBdr>
                          <w:divsChild>
                            <w:div w:id="1909878125">
                              <w:marLeft w:val="0"/>
                              <w:marRight w:val="0"/>
                              <w:marTop w:val="0"/>
                              <w:marBottom w:val="0"/>
                              <w:divBdr>
                                <w:top w:val="none" w:sz="0" w:space="0" w:color="auto"/>
                                <w:left w:val="none" w:sz="0" w:space="0" w:color="auto"/>
                                <w:bottom w:val="none" w:sz="0" w:space="0" w:color="auto"/>
                                <w:right w:val="none" w:sz="0" w:space="0" w:color="auto"/>
                              </w:divBdr>
                              <w:divsChild>
                                <w:div w:id="267277841">
                                  <w:marLeft w:val="0"/>
                                  <w:marRight w:val="0"/>
                                  <w:marTop w:val="0"/>
                                  <w:marBottom w:val="0"/>
                                  <w:divBdr>
                                    <w:top w:val="none" w:sz="0" w:space="0" w:color="auto"/>
                                    <w:left w:val="none" w:sz="0" w:space="0" w:color="auto"/>
                                    <w:bottom w:val="none" w:sz="0" w:space="0" w:color="auto"/>
                                    <w:right w:val="none" w:sz="0" w:space="0" w:color="auto"/>
                                  </w:divBdr>
                                  <w:divsChild>
                                    <w:div w:id="567083092">
                                      <w:marLeft w:val="0"/>
                                      <w:marRight w:val="0"/>
                                      <w:marTop w:val="0"/>
                                      <w:marBottom w:val="0"/>
                                      <w:divBdr>
                                        <w:top w:val="none" w:sz="0" w:space="0" w:color="auto"/>
                                        <w:left w:val="none" w:sz="0" w:space="0" w:color="auto"/>
                                        <w:bottom w:val="none" w:sz="0" w:space="0" w:color="auto"/>
                                        <w:right w:val="none" w:sz="0" w:space="0" w:color="auto"/>
                                      </w:divBdr>
                                      <w:divsChild>
                                        <w:div w:id="15518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341688">
      <w:bodyDiv w:val="1"/>
      <w:marLeft w:val="0"/>
      <w:marRight w:val="0"/>
      <w:marTop w:val="0"/>
      <w:marBottom w:val="0"/>
      <w:divBdr>
        <w:top w:val="none" w:sz="0" w:space="0" w:color="auto"/>
        <w:left w:val="none" w:sz="0" w:space="0" w:color="auto"/>
        <w:bottom w:val="none" w:sz="0" w:space="0" w:color="auto"/>
        <w:right w:val="none" w:sz="0" w:space="0" w:color="auto"/>
      </w:divBdr>
      <w:divsChild>
        <w:div w:id="2064214650">
          <w:marLeft w:val="446"/>
          <w:marRight w:val="0"/>
          <w:marTop w:val="0"/>
          <w:marBottom w:val="0"/>
          <w:divBdr>
            <w:top w:val="none" w:sz="0" w:space="0" w:color="auto"/>
            <w:left w:val="none" w:sz="0" w:space="0" w:color="auto"/>
            <w:bottom w:val="none" w:sz="0" w:space="0" w:color="auto"/>
            <w:right w:val="none" w:sz="0" w:space="0" w:color="auto"/>
          </w:divBdr>
        </w:div>
        <w:div w:id="1908803916">
          <w:marLeft w:val="446"/>
          <w:marRight w:val="0"/>
          <w:marTop w:val="0"/>
          <w:marBottom w:val="0"/>
          <w:divBdr>
            <w:top w:val="none" w:sz="0" w:space="0" w:color="auto"/>
            <w:left w:val="none" w:sz="0" w:space="0" w:color="auto"/>
            <w:bottom w:val="none" w:sz="0" w:space="0" w:color="auto"/>
            <w:right w:val="none" w:sz="0" w:space="0" w:color="auto"/>
          </w:divBdr>
        </w:div>
      </w:divsChild>
    </w:div>
    <w:div w:id="1133599660">
      <w:bodyDiv w:val="1"/>
      <w:marLeft w:val="0"/>
      <w:marRight w:val="0"/>
      <w:marTop w:val="0"/>
      <w:marBottom w:val="0"/>
      <w:divBdr>
        <w:top w:val="none" w:sz="0" w:space="0" w:color="auto"/>
        <w:left w:val="none" w:sz="0" w:space="0" w:color="auto"/>
        <w:bottom w:val="none" w:sz="0" w:space="0" w:color="auto"/>
        <w:right w:val="none" w:sz="0" w:space="0" w:color="auto"/>
      </w:divBdr>
      <w:divsChild>
        <w:div w:id="1947958115">
          <w:marLeft w:val="0"/>
          <w:marRight w:val="0"/>
          <w:marTop w:val="0"/>
          <w:marBottom w:val="0"/>
          <w:divBdr>
            <w:top w:val="none" w:sz="0" w:space="0" w:color="auto"/>
            <w:left w:val="none" w:sz="0" w:space="0" w:color="auto"/>
            <w:bottom w:val="none" w:sz="0" w:space="0" w:color="auto"/>
            <w:right w:val="none" w:sz="0" w:space="0" w:color="auto"/>
          </w:divBdr>
          <w:divsChild>
            <w:div w:id="95371378">
              <w:marLeft w:val="0"/>
              <w:marRight w:val="0"/>
              <w:marTop w:val="0"/>
              <w:marBottom w:val="0"/>
              <w:divBdr>
                <w:top w:val="none" w:sz="0" w:space="0" w:color="auto"/>
                <w:left w:val="none" w:sz="0" w:space="0" w:color="auto"/>
                <w:bottom w:val="none" w:sz="0" w:space="0" w:color="auto"/>
                <w:right w:val="none" w:sz="0" w:space="0" w:color="auto"/>
              </w:divBdr>
              <w:divsChild>
                <w:div w:id="131558264">
                  <w:marLeft w:val="0"/>
                  <w:marRight w:val="0"/>
                  <w:marTop w:val="0"/>
                  <w:marBottom w:val="0"/>
                  <w:divBdr>
                    <w:top w:val="none" w:sz="0" w:space="0" w:color="auto"/>
                    <w:left w:val="none" w:sz="0" w:space="0" w:color="auto"/>
                    <w:bottom w:val="none" w:sz="0" w:space="0" w:color="auto"/>
                    <w:right w:val="none" w:sz="0" w:space="0" w:color="auto"/>
                  </w:divBdr>
                  <w:divsChild>
                    <w:div w:id="733088158">
                      <w:marLeft w:val="0"/>
                      <w:marRight w:val="0"/>
                      <w:marTop w:val="0"/>
                      <w:marBottom w:val="0"/>
                      <w:divBdr>
                        <w:top w:val="none" w:sz="0" w:space="0" w:color="auto"/>
                        <w:left w:val="none" w:sz="0" w:space="0" w:color="auto"/>
                        <w:bottom w:val="none" w:sz="0" w:space="0" w:color="auto"/>
                        <w:right w:val="none" w:sz="0" w:space="0" w:color="auto"/>
                      </w:divBdr>
                      <w:divsChild>
                        <w:div w:id="1008950400">
                          <w:marLeft w:val="0"/>
                          <w:marRight w:val="0"/>
                          <w:marTop w:val="0"/>
                          <w:marBottom w:val="0"/>
                          <w:divBdr>
                            <w:top w:val="none" w:sz="0" w:space="0" w:color="auto"/>
                            <w:left w:val="none" w:sz="0" w:space="0" w:color="auto"/>
                            <w:bottom w:val="none" w:sz="0" w:space="0" w:color="auto"/>
                            <w:right w:val="none" w:sz="0" w:space="0" w:color="auto"/>
                          </w:divBdr>
                          <w:divsChild>
                            <w:div w:id="1125390122">
                              <w:marLeft w:val="0"/>
                              <w:marRight w:val="0"/>
                              <w:marTop w:val="0"/>
                              <w:marBottom w:val="0"/>
                              <w:divBdr>
                                <w:top w:val="none" w:sz="0" w:space="0" w:color="auto"/>
                                <w:left w:val="none" w:sz="0" w:space="0" w:color="auto"/>
                                <w:bottom w:val="none" w:sz="0" w:space="0" w:color="auto"/>
                                <w:right w:val="none" w:sz="0" w:space="0" w:color="auto"/>
                              </w:divBdr>
                              <w:divsChild>
                                <w:div w:id="302273954">
                                  <w:marLeft w:val="0"/>
                                  <w:marRight w:val="0"/>
                                  <w:marTop w:val="0"/>
                                  <w:marBottom w:val="0"/>
                                  <w:divBdr>
                                    <w:top w:val="none" w:sz="0" w:space="0" w:color="auto"/>
                                    <w:left w:val="none" w:sz="0" w:space="0" w:color="auto"/>
                                    <w:bottom w:val="none" w:sz="0" w:space="0" w:color="auto"/>
                                    <w:right w:val="none" w:sz="0" w:space="0" w:color="auto"/>
                                  </w:divBdr>
                                  <w:divsChild>
                                    <w:div w:id="1832090153">
                                      <w:marLeft w:val="0"/>
                                      <w:marRight w:val="0"/>
                                      <w:marTop w:val="0"/>
                                      <w:marBottom w:val="0"/>
                                      <w:divBdr>
                                        <w:top w:val="none" w:sz="0" w:space="0" w:color="auto"/>
                                        <w:left w:val="none" w:sz="0" w:space="0" w:color="auto"/>
                                        <w:bottom w:val="none" w:sz="0" w:space="0" w:color="auto"/>
                                        <w:right w:val="none" w:sz="0" w:space="0" w:color="auto"/>
                                      </w:divBdr>
                                      <w:divsChild>
                                        <w:div w:id="3207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226168">
      <w:bodyDiv w:val="1"/>
      <w:marLeft w:val="0"/>
      <w:marRight w:val="0"/>
      <w:marTop w:val="0"/>
      <w:marBottom w:val="0"/>
      <w:divBdr>
        <w:top w:val="none" w:sz="0" w:space="0" w:color="auto"/>
        <w:left w:val="none" w:sz="0" w:space="0" w:color="auto"/>
        <w:bottom w:val="none" w:sz="0" w:space="0" w:color="auto"/>
        <w:right w:val="none" w:sz="0" w:space="0" w:color="auto"/>
      </w:divBdr>
      <w:divsChild>
        <w:div w:id="13691373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1028</Words>
  <Characters>5864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BAYSAN</dc:creator>
  <cp:keywords/>
  <dc:description/>
  <cp:lastModifiedBy>Ömer BAYSAN</cp:lastModifiedBy>
  <cp:revision>18</cp:revision>
  <cp:lastPrinted>2020-02-05T10:23:00Z</cp:lastPrinted>
  <dcterms:created xsi:type="dcterms:W3CDTF">2020-02-05T08:12:00Z</dcterms:created>
  <dcterms:modified xsi:type="dcterms:W3CDTF">2020-03-02T13:13:00Z</dcterms:modified>
</cp:coreProperties>
</file>