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83" w:rsidRDefault="00021F83" w:rsidP="00C84B3A">
      <w:pPr>
        <w:spacing w:after="0"/>
        <w:jc w:val="center"/>
        <w:rPr>
          <w:b/>
          <w:sz w:val="24"/>
          <w:szCs w:val="24"/>
        </w:rPr>
      </w:pPr>
      <w:r>
        <w:rPr>
          <w:b/>
          <w:sz w:val="24"/>
          <w:szCs w:val="24"/>
        </w:rPr>
        <w:t xml:space="preserve">16. GRUBUN </w:t>
      </w:r>
      <w:r w:rsidRPr="00021F83">
        <w:rPr>
          <w:b/>
          <w:sz w:val="24"/>
          <w:szCs w:val="24"/>
        </w:rPr>
        <w:t xml:space="preserve">DERİ SEKTÖRÜNDE KULLANILAN YAĞLAMA MÜSTAHZARLARI İÇİN </w:t>
      </w:r>
    </w:p>
    <w:p w:rsidR="00941F65" w:rsidRDefault="00021F83" w:rsidP="00021F83">
      <w:pPr>
        <w:spacing w:after="0"/>
        <w:jc w:val="center"/>
        <w:rPr>
          <w:b/>
          <w:sz w:val="24"/>
          <w:szCs w:val="24"/>
        </w:rPr>
      </w:pPr>
      <w:r w:rsidRPr="00021F83">
        <w:rPr>
          <w:b/>
          <w:sz w:val="24"/>
          <w:szCs w:val="24"/>
        </w:rPr>
        <w:t>ÖTV’NİN KALDIRILMASI</w:t>
      </w:r>
      <w:r>
        <w:rPr>
          <w:b/>
          <w:sz w:val="24"/>
          <w:szCs w:val="24"/>
        </w:rPr>
        <w:t xml:space="preserve"> </w:t>
      </w:r>
      <w:r w:rsidR="00941F65" w:rsidRPr="00941F65">
        <w:rPr>
          <w:b/>
          <w:sz w:val="24"/>
          <w:szCs w:val="24"/>
        </w:rPr>
        <w:t>HAKKINDAKİ RE’SEN KARAR</w:t>
      </w:r>
      <w:r>
        <w:rPr>
          <w:b/>
          <w:sz w:val="24"/>
          <w:szCs w:val="24"/>
        </w:rPr>
        <w:t>I</w:t>
      </w:r>
    </w:p>
    <w:p w:rsidR="00941F65" w:rsidRPr="00941F65" w:rsidRDefault="00941F65" w:rsidP="00941F65">
      <w:pPr>
        <w:spacing w:after="0"/>
        <w:jc w:val="center"/>
        <w:rPr>
          <w:b/>
          <w:sz w:val="24"/>
          <w:szCs w:val="24"/>
        </w:rPr>
      </w:pPr>
    </w:p>
    <w:p w:rsidR="00C84B3A" w:rsidRPr="00C84B3A" w:rsidRDefault="00C84B3A" w:rsidP="00C84B3A">
      <w:pPr>
        <w:spacing w:after="120"/>
        <w:ind w:right="214"/>
        <w:jc w:val="both"/>
        <w:rPr>
          <w:sz w:val="24"/>
          <w:szCs w:val="24"/>
        </w:rPr>
      </w:pPr>
      <w:r w:rsidRPr="00C84B3A">
        <w:rPr>
          <w:sz w:val="24"/>
          <w:szCs w:val="24"/>
        </w:rPr>
        <w:t xml:space="preserve">28/02/2009 tarih ve 27155 Sayılı 1. Mükerrer Resmi </w:t>
      </w:r>
      <w:proofErr w:type="spellStart"/>
      <w:r w:rsidRPr="00C84B3A">
        <w:rPr>
          <w:sz w:val="24"/>
          <w:szCs w:val="24"/>
        </w:rPr>
        <w:t>Gazete’de</w:t>
      </w:r>
      <w:proofErr w:type="spellEnd"/>
      <w:r w:rsidRPr="00C84B3A">
        <w:rPr>
          <w:sz w:val="24"/>
          <w:szCs w:val="24"/>
        </w:rPr>
        <w:t xml:space="preserve"> yayımlanarak yürürlüğe giren 5838 </w:t>
      </w:r>
      <w:proofErr w:type="spellStart"/>
      <w:r w:rsidRPr="00C84B3A">
        <w:rPr>
          <w:sz w:val="24"/>
          <w:szCs w:val="24"/>
        </w:rPr>
        <w:t>No’lu</w:t>
      </w:r>
      <w:proofErr w:type="spellEnd"/>
      <w:r w:rsidRPr="00C84B3A">
        <w:rPr>
          <w:sz w:val="24"/>
          <w:szCs w:val="24"/>
        </w:rPr>
        <w:t xml:space="preserve"> Bazı Kanunlarda Değişiklik Yapılması Hakkında Kanun’un 13. maddesi uyarınca 3403.11.00.00 ve 3403.91.00.00 </w:t>
      </w:r>
      <w:proofErr w:type="gramStart"/>
      <w:r w:rsidRPr="00C84B3A">
        <w:rPr>
          <w:sz w:val="24"/>
          <w:szCs w:val="24"/>
        </w:rPr>
        <w:t>G.T.İ</w:t>
      </w:r>
      <w:proofErr w:type="gramEnd"/>
      <w:r w:rsidRPr="00C84B3A">
        <w:rPr>
          <w:sz w:val="24"/>
          <w:szCs w:val="24"/>
        </w:rPr>
        <w:t>.P numaralarında yer alan deri sektörü yağlama müstahzarları için 0,9345 TL/Kg Özel Tüketim Vergisi öngörülmüştür.</w:t>
      </w:r>
    </w:p>
    <w:p w:rsidR="00C84B3A" w:rsidRPr="00C84B3A" w:rsidRDefault="00C84B3A" w:rsidP="00C84B3A">
      <w:pPr>
        <w:spacing w:after="120"/>
        <w:ind w:right="214"/>
        <w:jc w:val="both"/>
        <w:rPr>
          <w:sz w:val="24"/>
          <w:szCs w:val="24"/>
        </w:rPr>
      </w:pPr>
      <w:r w:rsidRPr="00C84B3A">
        <w:rPr>
          <w:sz w:val="24"/>
          <w:szCs w:val="24"/>
        </w:rPr>
        <w:t xml:space="preserve">İhracatçı sektörümüz, uluslararası pazarlarda rekabet edebilmek için özverili çalışırken üretim maliyetlerine doğrudan artırıcı etki yapan bu uygulama rekabet edebilirliğimizi önemli ölçüde olumsuz olarak etkilemektedir. Üretim maliyetlerimiz içerisinde ortalama %10 payı olduğu dikkate alındığında etkisi daha net anlaşılmaktadır. Aşağıdaki tablo ÖTV uygulaması başlamadan önce 2006 ve 2007 yılı ithalat değer ve miktarını göstermektedir. Tablodaki veriler incelendiği zaman sektör genelinde yaratacağı olumsuz etki görülmektedir.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1843"/>
        <w:gridCol w:w="1843"/>
      </w:tblGrid>
      <w:tr w:rsidR="00C84B3A" w:rsidRPr="00C84B3A" w:rsidTr="00C84B3A">
        <w:tc>
          <w:tcPr>
            <w:tcW w:w="1843" w:type="dxa"/>
          </w:tcPr>
          <w:p w:rsidR="00C84B3A" w:rsidRPr="00C84B3A" w:rsidRDefault="00C84B3A" w:rsidP="00D722B5">
            <w:pPr>
              <w:spacing w:after="120"/>
              <w:jc w:val="center"/>
              <w:rPr>
                <w:sz w:val="24"/>
                <w:szCs w:val="24"/>
              </w:rPr>
            </w:pPr>
            <w:proofErr w:type="gramStart"/>
            <w:r w:rsidRPr="00C84B3A">
              <w:rPr>
                <w:sz w:val="24"/>
                <w:szCs w:val="24"/>
              </w:rPr>
              <w:t>G.T.İ</w:t>
            </w:r>
            <w:proofErr w:type="gramEnd"/>
            <w:r w:rsidRPr="00C84B3A">
              <w:rPr>
                <w:sz w:val="24"/>
                <w:szCs w:val="24"/>
              </w:rPr>
              <w:t>.P</w:t>
            </w:r>
          </w:p>
        </w:tc>
        <w:tc>
          <w:tcPr>
            <w:tcW w:w="3402" w:type="dxa"/>
            <w:gridSpan w:val="2"/>
          </w:tcPr>
          <w:p w:rsidR="00C84B3A" w:rsidRPr="00C84B3A" w:rsidRDefault="00C84B3A" w:rsidP="00D722B5">
            <w:pPr>
              <w:spacing w:after="120"/>
              <w:jc w:val="center"/>
              <w:rPr>
                <w:sz w:val="24"/>
                <w:szCs w:val="24"/>
              </w:rPr>
            </w:pPr>
            <w:r w:rsidRPr="00C84B3A">
              <w:rPr>
                <w:sz w:val="24"/>
                <w:szCs w:val="24"/>
              </w:rPr>
              <w:t>2006</w:t>
            </w:r>
          </w:p>
        </w:tc>
        <w:tc>
          <w:tcPr>
            <w:tcW w:w="3686" w:type="dxa"/>
            <w:gridSpan w:val="2"/>
          </w:tcPr>
          <w:p w:rsidR="00C84B3A" w:rsidRPr="00C84B3A" w:rsidRDefault="00C84B3A" w:rsidP="00D722B5">
            <w:pPr>
              <w:spacing w:after="120"/>
              <w:jc w:val="center"/>
              <w:rPr>
                <w:sz w:val="24"/>
                <w:szCs w:val="24"/>
              </w:rPr>
            </w:pPr>
            <w:r w:rsidRPr="00C84B3A">
              <w:rPr>
                <w:sz w:val="24"/>
                <w:szCs w:val="24"/>
              </w:rPr>
              <w:t>2007</w:t>
            </w:r>
          </w:p>
        </w:tc>
      </w:tr>
      <w:tr w:rsidR="00C84B3A" w:rsidRPr="00C84B3A" w:rsidTr="00C84B3A">
        <w:tc>
          <w:tcPr>
            <w:tcW w:w="1843" w:type="dxa"/>
          </w:tcPr>
          <w:p w:rsidR="00C84B3A" w:rsidRPr="00C84B3A" w:rsidRDefault="00C84B3A" w:rsidP="00D722B5">
            <w:pPr>
              <w:spacing w:after="120"/>
              <w:ind w:firstLine="851"/>
              <w:jc w:val="both"/>
              <w:rPr>
                <w:sz w:val="24"/>
                <w:szCs w:val="24"/>
              </w:rPr>
            </w:pPr>
          </w:p>
        </w:tc>
        <w:tc>
          <w:tcPr>
            <w:tcW w:w="1701" w:type="dxa"/>
          </w:tcPr>
          <w:p w:rsidR="00C84B3A" w:rsidRPr="00C84B3A" w:rsidRDefault="00C84B3A" w:rsidP="00D722B5">
            <w:pPr>
              <w:spacing w:after="120"/>
              <w:jc w:val="center"/>
              <w:rPr>
                <w:sz w:val="24"/>
                <w:szCs w:val="24"/>
              </w:rPr>
            </w:pPr>
            <w:r w:rsidRPr="00C84B3A">
              <w:rPr>
                <w:sz w:val="24"/>
                <w:szCs w:val="24"/>
              </w:rPr>
              <w:t>İthalat (USD)</w:t>
            </w:r>
          </w:p>
        </w:tc>
        <w:tc>
          <w:tcPr>
            <w:tcW w:w="1701" w:type="dxa"/>
          </w:tcPr>
          <w:p w:rsidR="00C84B3A" w:rsidRPr="00C84B3A" w:rsidRDefault="00C84B3A" w:rsidP="00D722B5">
            <w:pPr>
              <w:spacing w:after="120"/>
              <w:jc w:val="center"/>
              <w:rPr>
                <w:sz w:val="24"/>
                <w:szCs w:val="24"/>
              </w:rPr>
            </w:pPr>
            <w:r w:rsidRPr="00C84B3A">
              <w:rPr>
                <w:sz w:val="24"/>
                <w:szCs w:val="24"/>
              </w:rPr>
              <w:t>Miktar (Kg)</w:t>
            </w:r>
          </w:p>
        </w:tc>
        <w:tc>
          <w:tcPr>
            <w:tcW w:w="1843" w:type="dxa"/>
          </w:tcPr>
          <w:p w:rsidR="00C84B3A" w:rsidRPr="00C84B3A" w:rsidRDefault="00C84B3A" w:rsidP="00D722B5">
            <w:pPr>
              <w:spacing w:after="120"/>
              <w:jc w:val="center"/>
              <w:rPr>
                <w:sz w:val="24"/>
                <w:szCs w:val="24"/>
              </w:rPr>
            </w:pPr>
            <w:r w:rsidRPr="00C84B3A">
              <w:rPr>
                <w:sz w:val="24"/>
                <w:szCs w:val="24"/>
              </w:rPr>
              <w:t>İthalat (USD)</w:t>
            </w:r>
          </w:p>
        </w:tc>
        <w:tc>
          <w:tcPr>
            <w:tcW w:w="1843" w:type="dxa"/>
          </w:tcPr>
          <w:p w:rsidR="00C84B3A" w:rsidRPr="00C84B3A" w:rsidRDefault="00C84B3A" w:rsidP="00D722B5">
            <w:pPr>
              <w:spacing w:after="120"/>
              <w:ind w:right="400"/>
              <w:jc w:val="center"/>
              <w:rPr>
                <w:sz w:val="24"/>
                <w:szCs w:val="24"/>
              </w:rPr>
            </w:pPr>
            <w:r w:rsidRPr="00C84B3A">
              <w:rPr>
                <w:sz w:val="24"/>
                <w:szCs w:val="24"/>
              </w:rPr>
              <w:t>Miktar (Kg)</w:t>
            </w:r>
          </w:p>
        </w:tc>
      </w:tr>
      <w:tr w:rsidR="00C84B3A" w:rsidRPr="00C84B3A" w:rsidTr="00C84B3A">
        <w:tc>
          <w:tcPr>
            <w:tcW w:w="1843" w:type="dxa"/>
          </w:tcPr>
          <w:p w:rsidR="00C84B3A" w:rsidRPr="00C84B3A" w:rsidRDefault="00C84B3A" w:rsidP="00D722B5">
            <w:pPr>
              <w:spacing w:after="120"/>
              <w:jc w:val="center"/>
              <w:rPr>
                <w:sz w:val="24"/>
                <w:szCs w:val="24"/>
              </w:rPr>
            </w:pPr>
            <w:r w:rsidRPr="00C84B3A">
              <w:rPr>
                <w:sz w:val="24"/>
                <w:szCs w:val="24"/>
              </w:rPr>
              <w:t>3403.11.00.00</w:t>
            </w:r>
          </w:p>
        </w:tc>
        <w:tc>
          <w:tcPr>
            <w:tcW w:w="1701" w:type="dxa"/>
          </w:tcPr>
          <w:p w:rsidR="00C84B3A" w:rsidRPr="00C84B3A" w:rsidRDefault="00C84B3A" w:rsidP="00D722B5">
            <w:pPr>
              <w:spacing w:after="120"/>
              <w:jc w:val="center"/>
              <w:rPr>
                <w:sz w:val="24"/>
                <w:szCs w:val="24"/>
              </w:rPr>
            </w:pPr>
            <w:r w:rsidRPr="00C84B3A">
              <w:rPr>
                <w:sz w:val="24"/>
                <w:szCs w:val="24"/>
              </w:rPr>
              <w:t>10.224.980</w:t>
            </w:r>
          </w:p>
        </w:tc>
        <w:tc>
          <w:tcPr>
            <w:tcW w:w="1701" w:type="dxa"/>
          </w:tcPr>
          <w:p w:rsidR="00C84B3A" w:rsidRPr="00C84B3A" w:rsidRDefault="00C84B3A" w:rsidP="00D722B5">
            <w:pPr>
              <w:spacing w:after="120"/>
              <w:jc w:val="center"/>
              <w:rPr>
                <w:sz w:val="24"/>
                <w:szCs w:val="24"/>
              </w:rPr>
            </w:pPr>
            <w:r w:rsidRPr="00C84B3A">
              <w:rPr>
                <w:sz w:val="24"/>
                <w:szCs w:val="24"/>
              </w:rPr>
              <w:t>4.634.063</w:t>
            </w:r>
          </w:p>
        </w:tc>
        <w:tc>
          <w:tcPr>
            <w:tcW w:w="1843" w:type="dxa"/>
          </w:tcPr>
          <w:p w:rsidR="00C84B3A" w:rsidRPr="00C84B3A" w:rsidRDefault="00C84B3A" w:rsidP="00D722B5">
            <w:pPr>
              <w:spacing w:after="120"/>
              <w:jc w:val="center"/>
              <w:rPr>
                <w:sz w:val="24"/>
                <w:szCs w:val="24"/>
              </w:rPr>
            </w:pPr>
            <w:r w:rsidRPr="00C84B3A">
              <w:rPr>
                <w:sz w:val="24"/>
                <w:szCs w:val="24"/>
              </w:rPr>
              <w:t>10.376.749</w:t>
            </w:r>
          </w:p>
        </w:tc>
        <w:tc>
          <w:tcPr>
            <w:tcW w:w="1843" w:type="dxa"/>
          </w:tcPr>
          <w:p w:rsidR="00C84B3A" w:rsidRPr="00C84B3A" w:rsidRDefault="00C84B3A" w:rsidP="00D722B5">
            <w:pPr>
              <w:spacing w:after="120"/>
              <w:ind w:right="400"/>
              <w:jc w:val="center"/>
              <w:rPr>
                <w:sz w:val="24"/>
                <w:szCs w:val="24"/>
              </w:rPr>
            </w:pPr>
            <w:r w:rsidRPr="00C84B3A">
              <w:rPr>
                <w:sz w:val="24"/>
                <w:szCs w:val="24"/>
              </w:rPr>
              <w:t>4.619.922</w:t>
            </w:r>
          </w:p>
        </w:tc>
      </w:tr>
      <w:tr w:rsidR="00C84B3A" w:rsidRPr="00C84B3A" w:rsidTr="00C84B3A">
        <w:tc>
          <w:tcPr>
            <w:tcW w:w="1843" w:type="dxa"/>
          </w:tcPr>
          <w:p w:rsidR="00C84B3A" w:rsidRPr="00C84B3A" w:rsidRDefault="00C84B3A" w:rsidP="00D722B5">
            <w:pPr>
              <w:spacing w:after="120"/>
              <w:jc w:val="center"/>
              <w:rPr>
                <w:sz w:val="24"/>
                <w:szCs w:val="24"/>
              </w:rPr>
            </w:pPr>
            <w:r w:rsidRPr="00C84B3A">
              <w:rPr>
                <w:sz w:val="24"/>
                <w:szCs w:val="24"/>
              </w:rPr>
              <w:t>3403.91.00.00</w:t>
            </w:r>
          </w:p>
        </w:tc>
        <w:tc>
          <w:tcPr>
            <w:tcW w:w="1701" w:type="dxa"/>
          </w:tcPr>
          <w:p w:rsidR="00C84B3A" w:rsidRPr="00C84B3A" w:rsidRDefault="00C84B3A" w:rsidP="00D722B5">
            <w:pPr>
              <w:spacing w:after="120"/>
              <w:jc w:val="center"/>
              <w:rPr>
                <w:sz w:val="24"/>
                <w:szCs w:val="24"/>
              </w:rPr>
            </w:pPr>
            <w:r w:rsidRPr="00C84B3A">
              <w:rPr>
                <w:sz w:val="24"/>
                <w:szCs w:val="24"/>
              </w:rPr>
              <w:t>24.798.935</w:t>
            </w:r>
          </w:p>
        </w:tc>
        <w:tc>
          <w:tcPr>
            <w:tcW w:w="1701" w:type="dxa"/>
          </w:tcPr>
          <w:p w:rsidR="00C84B3A" w:rsidRPr="00C84B3A" w:rsidRDefault="00C84B3A" w:rsidP="00D722B5">
            <w:pPr>
              <w:spacing w:after="120"/>
              <w:jc w:val="center"/>
              <w:rPr>
                <w:sz w:val="24"/>
                <w:szCs w:val="24"/>
              </w:rPr>
            </w:pPr>
            <w:r w:rsidRPr="00C84B3A">
              <w:rPr>
                <w:sz w:val="24"/>
                <w:szCs w:val="24"/>
              </w:rPr>
              <w:t>12.475.974</w:t>
            </w:r>
          </w:p>
        </w:tc>
        <w:tc>
          <w:tcPr>
            <w:tcW w:w="1843" w:type="dxa"/>
          </w:tcPr>
          <w:p w:rsidR="00C84B3A" w:rsidRPr="00C84B3A" w:rsidRDefault="00C84B3A" w:rsidP="00D722B5">
            <w:pPr>
              <w:spacing w:after="120"/>
              <w:jc w:val="center"/>
              <w:rPr>
                <w:sz w:val="24"/>
                <w:szCs w:val="24"/>
              </w:rPr>
            </w:pPr>
            <w:r w:rsidRPr="00C84B3A">
              <w:rPr>
                <w:sz w:val="24"/>
                <w:szCs w:val="24"/>
              </w:rPr>
              <w:t>29.869.072</w:t>
            </w:r>
          </w:p>
        </w:tc>
        <w:tc>
          <w:tcPr>
            <w:tcW w:w="1843" w:type="dxa"/>
          </w:tcPr>
          <w:p w:rsidR="00C84B3A" w:rsidRPr="00C84B3A" w:rsidRDefault="00C84B3A" w:rsidP="00D722B5">
            <w:pPr>
              <w:spacing w:after="120"/>
              <w:ind w:right="400"/>
              <w:jc w:val="center"/>
              <w:rPr>
                <w:sz w:val="24"/>
                <w:szCs w:val="24"/>
              </w:rPr>
            </w:pPr>
            <w:r w:rsidRPr="00C84B3A">
              <w:rPr>
                <w:sz w:val="24"/>
                <w:szCs w:val="24"/>
              </w:rPr>
              <w:t>14.146.321</w:t>
            </w:r>
          </w:p>
        </w:tc>
      </w:tr>
    </w:tbl>
    <w:p w:rsidR="00941F65" w:rsidRPr="00C84B3A" w:rsidRDefault="00C84B3A" w:rsidP="00C84B3A">
      <w:pPr>
        <w:spacing w:before="120" w:after="120"/>
        <w:ind w:right="214"/>
        <w:jc w:val="both"/>
        <w:rPr>
          <w:sz w:val="24"/>
          <w:szCs w:val="24"/>
        </w:rPr>
      </w:pPr>
      <w:r w:rsidRPr="00C84B3A">
        <w:rPr>
          <w:sz w:val="24"/>
          <w:szCs w:val="24"/>
        </w:rPr>
        <w:t>Ayrıca ilgili yasa tasarısının gerekçesi de incelendiği zaman bahse konu 13. madde için herhangi bir gerekçe belirtilmemiş sadece Özel Tüketim Vergisi</w:t>
      </w:r>
      <w:r w:rsidRPr="00C84B3A">
        <w:rPr>
          <w:sz w:val="24"/>
          <w:szCs w:val="24"/>
        </w:rPr>
        <w:t xml:space="preserve"> uygulanacağına değinilmiştir. Deri yağlama müstahzarlarına uygulanan</w:t>
      </w:r>
      <w:r w:rsidRPr="00C84B3A">
        <w:rPr>
          <w:sz w:val="24"/>
          <w:szCs w:val="24"/>
        </w:rPr>
        <w:t xml:space="preserve"> ÖTV</w:t>
      </w:r>
      <w:r w:rsidRPr="00C84B3A">
        <w:rPr>
          <w:sz w:val="24"/>
          <w:szCs w:val="24"/>
        </w:rPr>
        <w:t xml:space="preserve">’nin kaldırılması sektör açısından yararlı olacaktır. </w:t>
      </w:r>
    </w:p>
    <w:p w:rsidR="00021F83" w:rsidRDefault="00021F83" w:rsidP="00941F65">
      <w:pPr>
        <w:rPr>
          <w:sz w:val="24"/>
          <w:szCs w:val="24"/>
        </w:rPr>
      </w:pPr>
    </w:p>
    <w:p w:rsidR="00021F83" w:rsidRPr="00941F65" w:rsidRDefault="00021F83" w:rsidP="00941F65">
      <w:pPr>
        <w:rPr>
          <w:sz w:val="24"/>
          <w:szCs w:val="24"/>
        </w:rPr>
      </w:pPr>
      <w:bookmarkStart w:id="0" w:name="_GoBack"/>
      <w:bookmarkEnd w:id="0"/>
    </w:p>
    <w:sectPr w:rsidR="00021F83" w:rsidRPr="00941F65" w:rsidSect="00941F65">
      <w:pgSz w:w="11906" w:h="16838"/>
      <w:pgMar w:top="241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65"/>
    <w:rsid w:val="00021F83"/>
    <w:rsid w:val="002460ED"/>
    <w:rsid w:val="00941F65"/>
    <w:rsid w:val="00B04DE7"/>
    <w:rsid w:val="00C65836"/>
    <w:rsid w:val="00C84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DD0E"/>
  <w15:chartTrackingRefBased/>
  <w15:docId w15:val="{B3E5747B-00C5-441E-8B79-E908684E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İpek</dc:creator>
  <cp:keywords/>
  <dc:description/>
  <cp:lastModifiedBy>Deniz İpek</cp:lastModifiedBy>
  <cp:revision>3</cp:revision>
  <dcterms:created xsi:type="dcterms:W3CDTF">2018-06-21T05:37:00Z</dcterms:created>
  <dcterms:modified xsi:type="dcterms:W3CDTF">2018-07-10T07:49:00Z</dcterms:modified>
</cp:coreProperties>
</file>