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Look w:val="01E0" w:firstRow="1" w:lastRow="1" w:firstColumn="1" w:lastColumn="1" w:noHBand="0" w:noVBand="0"/>
      </w:tblPr>
      <w:tblGrid>
        <w:gridCol w:w="3283"/>
        <w:gridCol w:w="3136"/>
        <w:gridCol w:w="2880"/>
      </w:tblGrid>
      <w:tr w:rsidR="003177B4" w:rsidRPr="003177B4">
        <w:trPr>
          <w:trHeight w:val="317"/>
          <w:jc w:val="center"/>
        </w:trPr>
        <w:tc>
          <w:tcPr>
            <w:tcW w:w="2931" w:type="dxa"/>
            <w:tcBorders>
              <w:top w:val="nil"/>
              <w:left w:val="nil"/>
              <w:bottom w:val="single" w:sz="4" w:space="0" w:color="660066"/>
              <w:right w:val="nil"/>
            </w:tcBorders>
            <w:vAlign w:val="center"/>
            <w:hideMark/>
          </w:tcPr>
          <w:p w:rsidR="003177B4" w:rsidRPr="003177B4" w:rsidRDefault="003177B4" w:rsidP="003177B4">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3177B4">
              <w:rPr>
                <w:rFonts w:ascii="Arial" w:eastAsia="Times New Roman" w:hAnsi="Arial" w:cs="Arial"/>
                <w:sz w:val="16"/>
                <w:szCs w:val="16"/>
                <w:lang w:eastAsia="tr-TR"/>
              </w:rPr>
              <w:t>20 Haziran 2015 CUMARTESİ</w:t>
            </w:r>
          </w:p>
        </w:tc>
        <w:tc>
          <w:tcPr>
            <w:tcW w:w="2931" w:type="dxa"/>
            <w:tcBorders>
              <w:top w:val="nil"/>
              <w:left w:val="nil"/>
              <w:bottom w:val="single" w:sz="4" w:space="0" w:color="660066"/>
              <w:right w:val="nil"/>
            </w:tcBorders>
            <w:vAlign w:val="center"/>
            <w:hideMark/>
          </w:tcPr>
          <w:p w:rsidR="003177B4" w:rsidRPr="003177B4" w:rsidRDefault="003177B4" w:rsidP="003177B4">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3177B4">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3177B4" w:rsidRPr="003177B4" w:rsidRDefault="003177B4" w:rsidP="003177B4">
            <w:pPr>
              <w:spacing w:before="100" w:beforeAutospacing="1" w:after="100" w:afterAutospacing="1" w:line="240" w:lineRule="auto"/>
              <w:jc w:val="right"/>
              <w:rPr>
                <w:rFonts w:ascii="Arial" w:eastAsia="Times New Roman" w:hAnsi="Arial" w:cs="Arial"/>
                <w:sz w:val="16"/>
                <w:szCs w:val="16"/>
                <w:lang w:eastAsia="tr-TR"/>
              </w:rPr>
            </w:pPr>
            <w:proofErr w:type="gramStart"/>
            <w:r w:rsidRPr="003177B4">
              <w:rPr>
                <w:rFonts w:ascii="Arial" w:eastAsia="Times New Roman" w:hAnsi="Arial" w:cs="Arial"/>
                <w:sz w:val="16"/>
                <w:szCs w:val="16"/>
                <w:lang w:eastAsia="tr-TR"/>
              </w:rPr>
              <w:t>Sayı : 29392</w:t>
            </w:r>
            <w:proofErr w:type="gramEnd"/>
          </w:p>
        </w:tc>
      </w:tr>
      <w:tr w:rsidR="003177B4" w:rsidRPr="003177B4">
        <w:trPr>
          <w:trHeight w:val="480"/>
          <w:jc w:val="center"/>
        </w:trPr>
        <w:tc>
          <w:tcPr>
            <w:tcW w:w="8789" w:type="dxa"/>
            <w:gridSpan w:val="3"/>
            <w:vAlign w:val="center"/>
            <w:hideMark/>
          </w:tcPr>
          <w:p w:rsidR="003177B4" w:rsidRPr="003177B4" w:rsidRDefault="003177B4" w:rsidP="003177B4">
            <w:pPr>
              <w:spacing w:before="100" w:beforeAutospacing="1" w:after="100" w:afterAutospacing="1" w:line="240" w:lineRule="auto"/>
              <w:jc w:val="center"/>
              <w:rPr>
                <w:rFonts w:ascii="Arial" w:eastAsia="Times New Roman" w:hAnsi="Arial" w:cs="Arial"/>
                <w:b/>
                <w:color w:val="000080"/>
                <w:sz w:val="18"/>
                <w:szCs w:val="18"/>
                <w:lang w:eastAsia="tr-TR"/>
              </w:rPr>
            </w:pPr>
            <w:r w:rsidRPr="003177B4">
              <w:rPr>
                <w:rFonts w:ascii="Arial" w:eastAsia="Times New Roman" w:hAnsi="Arial" w:cs="Arial"/>
                <w:b/>
                <w:color w:val="000080"/>
                <w:sz w:val="18"/>
                <w:szCs w:val="18"/>
                <w:lang w:eastAsia="tr-TR"/>
              </w:rPr>
              <w:t>TEBLİĞ</w:t>
            </w:r>
          </w:p>
        </w:tc>
      </w:tr>
      <w:tr w:rsidR="003177B4" w:rsidRPr="003177B4">
        <w:trPr>
          <w:trHeight w:val="480"/>
          <w:jc w:val="center"/>
        </w:trPr>
        <w:tc>
          <w:tcPr>
            <w:tcW w:w="8789" w:type="dxa"/>
            <w:gridSpan w:val="3"/>
            <w:vAlign w:val="center"/>
          </w:tcPr>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3177B4">
              <w:rPr>
                <w:rFonts w:ascii="Times New Roman" w:eastAsia="Times New Roman" w:hAnsi="Times New Roman" w:cs="Times New Roman"/>
                <w:sz w:val="18"/>
                <w:szCs w:val="18"/>
                <w:u w:val="single"/>
                <w:lang w:eastAsia="tr-TR"/>
              </w:rPr>
              <w:t>Ekonomi Bakanlığından:</w:t>
            </w:r>
          </w:p>
          <w:p w:rsidR="003177B4" w:rsidRPr="003177B4" w:rsidRDefault="003177B4" w:rsidP="003177B4">
            <w:pPr>
              <w:tabs>
                <w:tab w:val="left" w:pos="566"/>
              </w:tabs>
              <w:spacing w:before="56" w:after="0" w:line="240" w:lineRule="exact"/>
              <w:jc w:val="center"/>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 xml:space="preserve">PASLANMAZ ÇELİKTEN SOĞUK HADDELENMİŞ SAC İTHALATINDA </w:t>
            </w:r>
          </w:p>
          <w:p w:rsidR="003177B4" w:rsidRPr="003177B4" w:rsidRDefault="003177B4" w:rsidP="003177B4">
            <w:pPr>
              <w:tabs>
                <w:tab w:val="left" w:pos="566"/>
              </w:tabs>
              <w:spacing w:after="170" w:line="240" w:lineRule="exact"/>
              <w:jc w:val="center"/>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TARİFE KONTENJANI UYGULANMASINA İLİŞKİN TEBLİĞ</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 xml:space="preserve">Amaç ve kapsam </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1 –</w:t>
            </w:r>
            <w:r w:rsidRPr="003177B4">
              <w:rPr>
                <w:rFonts w:ascii="Times New Roman" w:eastAsia="Times New Roman" w:hAnsi="Times New Roman" w:cs="Times New Roman"/>
                <w:sz w:val="18"/>
                <w:szCs w:val="18"/>
                <w:lang w:eastAsia="tr-TR"/>
              </w:rPr>
              <w:t xml:space="preserve"> (1) </w:t>
            </w:r>
            <w:bookmarkStart w:id="0" w:name="_GoBack"/>
            <w:r w:rsidRPr="003177B4">
              <w:rPr>
                <w:rFonts w:ascii="Times New Roman" w:eastAsia="Times New Roman" w:hAnsi="Times New Roman" w:cs="Times New Roman"/>
                <w:sz w:val="18"/>
                <w:szCs w:val="18"/>
                <w:lang w:eastAsia="tr-TR"/>
              </w:rPr>
              <w:t xml:space="preserve">Bu Tebliğin amacı, </w:t>
            </w:r>
            <w:proofErr w:type="gramStart"/>
            <w:r w:rsidRPr="003177B4">
              <w:rPr>
                <w:rFonts w:ascii="Times New Roman" w:eastAsia="Times New Roman" w:hAnsi="Times New Roman" w:cs="Times New Roman"/>
                <w:sz w:val="18"/>
                <w:szCs w:val="18"/>
                <w:lang w:eastAsia="tr-TR"/>
              </w:rPr>
              <w:t>2/3/2015</w:t>
            </w:r>
            <w:proofErr w:type="gramEnd"/>
            <w:r w:rsidRPr="003177B4">
              <w:rPr>
                <w:rFonts w:ascii="Times New Roman" w:eastAsia="Times New Roman" w:hAnsi="Times New Roman" w:cs="Times New Roman"/>
                <w:sz w:val="18"/>
                <w:szCs w:val="18"/>
                <w:lang w:eastAsia="tr-TR"/>
              </w:rPr>
              <w:t xml:space="preserve"> tarihli ve 2015/7359 sayılı Bakanlar Kurulu kararıyla yürürlüğe konulan Paslanmaz Çelikten Soğuk Haddelenmiş Sac İthalatında Tarife Kontenjanı Uygulanması Hakkında Karar uyarınca, paslanmaz çelikten soğuk haddelenmiş sac ithalatında açılan toplam 60.000 ton tarife kontenjanının dağıtım yöntemi ile başvuru ve kullanım usul ve esaslarının düzenlenmesidir. </w:t>
            </w:r>
          </w:p>
          <w:bookmarkEnd w:id="0"/>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Dayanak</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2 –</w:t>
            </w:r>
            <w:r w:rsidRPr="003177B4">
              <w:rPr>
                <w:rFonts w:ascii="Times New Roman" w:eastAsia="Times New Roman" w:hAnsi="Times New Roman" w:cs="Times New Roman"/>
                <w:sz w:val="18"/>
                <w:szCs w:val="18"/>
                <w:lang w:eastAsia="tr-TR"/>
              </w:rPr>
              <w:t xml:space="preserve"> (1) Bu Tebliğ, Paslanmaz Çelikten Soğuk Haddelenmiş Sac İthalatında Tarife Kontenjanı Uygulanması Hakkında Karar ile </w:t>
            </w:r>
            <w:proofErr w:type="gramStart"/>
            <w:r w:rsidRPr="003177B4">
              <w:rPr>
                <w:rFonts w:ascii="Times New Roman" w:eastAsia="Times New Roman" w:hAnsi="Times New Roman" w:cs="Times New Roman"/>
                <w:sz w:val="18"/>
                <w:szCs w:val="18"/>
                <w:lang w:eastAsia="tr-TR"/>
              </w:rPr>
              <w:t>14/4/2010</w:t>
            </w:r>
            <w:proofErr w:type="gramEnd"/>
            <w:r w:rsidRPr="003177B4">
              <w:rPr>
                <w:rFonts w:ascii="Times New Roman" w:eastAsia="Times New Roman" w:hAnsi="Times New Roman" w:cs="Times New Roman"/>
                <w:sz w:val="18"/>
                <w:szCs w:val="18"/>
                <w:lang w:eastAsia="tr-TR"/>
              </w:rPr>
              <w:t xml:space="preserve"> tarihli ve 2010/339 sayılı Bakanlar Kurulu Kararı ile yürürlüğe konulan İthalatta Kota ve Tarife Kontenjanı İdaresi Hakkında Karara dayanılarak hazırlanmıştır. </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Tarife kontenjanı başvuru usul ve esasları</w:t>
            </w:r>
          </w:p>
          <w:p w:rsidR="003177B4" w:rsidRPr="003177B4" w:rsidRDefault="003177B4" w:rsidP="003177B4">
            <w:pPr>
              <w:tabs>
                <w:tab w:val="left" w:pos="566"/>
              </w:tabs>
              <w:spacing w:after="56"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3 –</w:t>
            </w:r>
            <w:r w:rsidRPr="003177B4">
              <w:rPr>
                <w:rFonts w:ascii="Times New Roman" w:eastAsia="Times New Roman" w:hAnsi="Times New Roman" w:cs="Times New Roman"/>
                <w:sz w:val="18"/>
                <w:szCs w:val="18"/>
                <w:lang w:eastAsia="tr-TR"/>
              </w:rPr>
              <w:t xml:space="preserve"> (1) Paslanmaz Çelikten Soğuk Haddelenmiş Sac İthalatında Tarife Kontenjanı Uygulanması Hakkında Karar uyarınca, aşağıdaki tabloda gümrük tarife istatistik pozisyonu (</w:t>
            </w:r>
            <w:proofErr w:type="gramStart"/>
            <w:r w:rsidRPr="003177B4">
              <w:rPr>
                <w:rFonts w:ascii="Times New Roman" w:eastAsia="Times New Roman" w:hAnsi="Times New Roman" w:cs="Times New Roman"/>
                <w:sz w:val="18"/>
                <w:szCs w:val="18"/>
                <w:lang w:eastAsia="tr-TR"/>
              </w:rPr>
              <w:t>G.T.İ</w:t>
            </w:r>
            <w:proofErr w:type="gramEnd"/>
            <w:r w:rsidRPr="003177B4">
              <w:rPr>
                <w:rFonts w:ascii="Times New Roman" w:eastAsia="Times New Roman" w:hAnsi="Times New Roman" w:cs="Times New Roman"/>
                <w:sz w:val="18"/>
                <w:szCs w:val="18"/>
                <w:lang w:eastAsia="tr-TR"/>
              </w:rPr>
              <w:t xml:space="preserve">.P) ve tanımı belirtilen eşyanın ithalatı için açılan tarife kontenjanının dağıtımı talep toplama yöntemiyle yapılacaktır.  </w:t>
            </w:r>
          </w:p>
          <w:p w:rsidR="003177B4" w:rsidRPr="003177B4" w:rsidRDefault="003177B4" w:rsidP="003177B4">
            <w:pPr>
              <w:tabs>
                <w:tab w:val="left" w:pos="566"/>
              </w:tabs>
              <w:spacing w:after="56" w:line="240" w:lineRule="exact"/>
              <w:ind w:firstLine="566"/>
              <w:jc w:val="both"/>
              <w:rPr>
                <w:rFonts w:ascii="Times New Roman" w:eastAsia="Times New Roman" w:hAnsi="Times New Roman" w:cs="Times New Roman"/>
                <w:sz w:val="18"/>
                <w:szCs w:val="18"/>
                <w:lang w:eastAsia="tr-T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287"/>
              <w:gridCol w:w="1312"/>
              <w:gridCol w:w="2202"/>
            </w:tblGrid>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b/>
                      <w:sz w:val="18"/>
                      <w:szCs w:val="18"/>
                      <w:lang w:eastAsia="tr-TR"/>
                    </w:rPr>
                  </w:pPr>
                  <w:proofErr w:type="gramStart"/>
                  <w:r w:rsidRPr="003177B4">
                    <w:rPr>
                      <w:rFonts w:ascii="Times New Roman" w:eastAsia="Times New Roman" w:hAnsi="Times New Roman" w:cs="Times New Roman"/>
                      <w:b/>
                      <w:sz w:val="18"/>
                      <w:szCs w:val="18"/>
                      <w:lang w:eastAsia="tr-TR"/>
                    </w:rPr>
                    <w:t>G.T.İ</w:t>
                  </w:r>
                  <w:proofErr w:type="gramEnd"/>
                  <w:r w:rsidRPr="003177B4">
                    <w:rPr>
                      <w:rFonts w:ascii="Times New Roman" w:eastAsia="Times New Roman" w:hAnsi="Times New Roman" w:cs="Times New Roman"/>
                      <w:b/>
                      <w:sz w:val="18"/>
                      <w:szCs w:val="18"/>
                      <w:lang w:eastAsia="tr-TR"/>
                    </w:rPr>
                    <w:t>.P.</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Eşyanın Tanımı</w:t>
                  </w:r>
                </w:p>
              </w:tc>
              <w:tc>
                <w:tcPr>
                  <w:tcW w:w="127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Gümrük Vergisi %</w:t>
                  </w:r>
                </w:p>
              </w:tc>
              <w:tc>
                <w:tcPr>
                  <w:tcW w:w="2140"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Miktarı (Ton)</w:t>
                  </w: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sz w:val="18"/>
                      <w:szCs w:val="18"/>
                      <w:lang w:eastAsia="tr-TR"/>
                    </w:rPr>
                    <w:t>7219.31.00.00.00</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sz w:val="18"/>
                      <w:szCs w:val="18"/>
                      <w:lang w:eastAsia="tr-TR"/>
                    </w:rPr>
                    <w:t>Kalınlığı 4,75 mm veya daha fazla olanlar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sz w:val="18"/>
                      <w:szCs w:val="18"/>
                      <w:lang w:eastAsia="tr-TR"/>
                    </w:rPr>
                    <w:t>0</w:t>
                  </w:r>
                </w:p>
              </w:tc>
              <w:tc>
                <w:tcPr>
                  <w:tcW w:w="2140" w:type="dxa"/>
                  <w:vMerge w:val="restart"/>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60.000</w:t>
                  </w: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sz w:val="18"/>
                      <w:szCs w:val="18"/>
                      <w:lang w:eastAsia="tr-TR"/>
                    </w:rPr>
                    <w:t>7219.32.10.00.00</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sz w:val="18"/>
                      <w:szCs w:val="18"/>
                      <w:lang w:eastAsia="tr-TR"/>
                    </w:rPr>
                    <w:t>Ağırlık itibariyle %2,5 veya daha fazla nikel içerenler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7219.32.90.00.00</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Ağırlık itibariyle %2,5’tan az nikel içerenler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7219.33.10.00.00</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Ağırlık itibariyle %2,5 veya daha fazla nikel içerenler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7219.33.90.00.00</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Ağırlık itibariyle %2,5’tan az nikel içerenler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7219.34.10.00.00</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Ağırlık itibariyle %2,5 veya daha fazla nikel içerenler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7219.34.90.00.00</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Ağırlık itibariyle %2,5’tan az nikel içerenler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7219.35.10.00.00</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Ağırlık itibariyle %2,5 veya daha fazla nikel içerenler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7219.35.90.00.00</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Ağırlık itibariyle %2,5’tan az nikel içerenler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84"/>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7220.20.21.00.11</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tabs>
                      <w:tab w:val="left" w:pos="566"/>
                    </w:tabs>
                    <w:spacing w:after="0" w:line="240" w:lineRule="exact"/>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Genişliği 500 mm’yi geçenler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6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7220.20.29.00.11</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spacing w:after="0" w:line="240" w:lineRule="exact"/>
                    <w:rPr>
                      <w:rFonts w:ascii="Times New Roman" w:eastAsia="Times New Roman" w:hAnsi="Times New Roman" w:cs="Times New Roman"/>
                      <w:sz w:val="18"/>
                      <w:szCs w:val="18"/>
                    </w:rPr>
                  </w:pPr>
                  <w:r w:rsidRPr="003177B4">
                    <w:rPr>
                      <w:rFonts w:ascii="Times New Roman" w:eastAsia="Times New Roman" w:hAnsi="Times New Roman" w:cs="Times New Roman"/>
                      <w:sz w:val="18"/>
                      <w:szCs w:val="18"/>
                      <w:lang w:eastAsia="tr-TR"/>
                    </w:rPr>
                    <w:t>Genişliği 500 mm’yi geçenler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exact"/>
                    <w:jc w:val="center"/>
                    <w:rPr>
                      <w:rFonts w:ascii="Times New Roman" w:eastAsia="Times New Roman" w:hAnsi="Times New Roman" w:cs="Times New Roman"/>
                      <w:sz w:val="18"/>
                      <w:szCs w:val="18"/>
                    </w:rPr>
                  </w:pPr>
                  <w:r w:rsidRPr="003177B4">
                    <w:rPr>
                      <w:rFonts w:ascii="Times New Roman" w:eastAsia="Times New Roman" w:hAnsi="Times New Roman" w:cs="Times New Roman"/>
                      <w:sz w:val="18"/>
                      <w:szCs w:val="18"/>
                      <w:lang w:eastAsia="tr-TR"/>
                    </w:rPr>
                    <w:t>7220.20.41.00.11</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spacing w:after="0" w:line="240" w:lineRule="exact"/>
                    <w:rPr>
                      <w:rFonts w:ascii="Times New Roman" w:eastAsia="Times New Roman" w:hAnsi="Times New Roman" w:cs="Times New Roman"/>
                      <w:sz w:val="18"/>
                      <w:szCs w:val="18"/>
                    </w:rPr>
                  </w:pPr>
                  <w:r w:rsidRPr="003177B4">
                    <w:rPr>
                      <w:rFonts w:ascii="Times New Roman" w:eastAsia="Times New Roman" w:hAnsi="Times New Roman" w:cs="Times New Roman"/>
                      <w:sz w:val="18"/>
                      <w:szCs w:val="18"/>
                      <w:lang w:eastAsia="tr-TR"/>
                    </w:rPr>
                    <w:t>Genişliği 500 mm’yi geçenler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exact"/>
                    <w:jc w:val="center"/>
                    <w:rPr>
                      <w:rFonts w:ascii="Times New Roman" w:eastAsia="Times New Roman" w:hAnsi="Times New Roman" w:cs="Times New Roman"/>
                      <w:sz w:val="18"/>
                      <w:szCs w:val="18"/>
                    </w:rPr>
                  </w:pPr>
                  <w:r w:rsidRPr="003177B4">
                    <w:rPr>
                      <w:rFonts w:ascii="Times New Roman" w:eastAsia="Times New Roman" w:hAnsi="Times New Roman" w:cs="Times New Roman"/>
                      <w:sz w:val="18"/>
                      <w:szCs w:val="18"/>
                      <w:lang w:eastAsia="tr-TR"/>
                    </w:rPr>
                    <w:t>7220.20.49.00.11</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spacing w:after="0" w:line="240" w:lineRule="exact"/>
                    <w:rPr>
                      <w:rFonts w:ascii="Times New Roman" w:eastAsia="Times New Roman" w:hAnsi="Times New Roman" w:cs="Times New Roman"/>
                      <w:sz w:val="18"/>
                      <w:szCs w:val="18"/>
                    </w:rPr>
                  </w:pPr>
                  <w:r w:rsidRPr="003177B4">
                    <w:rPr>
                      <w:rFonts w:ascii="Times New Roman" w:eastAsia="Times New Roman" w:hAnsi="Times New Roman" w:cs="Times New Roman"/>
                      <w:sz w:val="18"/>
                      <w:szCs w:val="18"/>
                      <w:lang w:eastAsia="tr-TR"/>
                    </w:rPr>
                    <w:t>Genişliği 500 mm’yi geçenler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exact"/>
                    <w:jc w:val="center"/>
                    <w:rPr>
                      <w:rFonts w:ascii="Times New Roman" w:eastAsia="Times New Roman" w:hAnsi="Times New Roman" w:cs="Times New Roman"/>
                      <w:sz w:val="18"/>
                      <w:szCs w:val="18"/>
                    </w:rPr>
                  </w:pPr>
                  <w:r w:rsidRPr="003177B4">
                    <w:rPr>
                      <w:rFonts w:ascii="Times New Roman" w:eastAsia="Times New Roman" w:hAnsi="Times New Roman" w:cs="Times New Roman"/>
                      <w:sz w:val="18"/>
                      <w:szCs w:val="18"/>
                      <w:lang w:eastAsia="tr-TR"/>
                    </w:rPr>
                    <w:t>7220.20.81.00.11</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spacing w:after="0" w:line="240" w:lineRule="exact"/>
                    <w:rPr>
                      <w:rFonts w:ascii="Times New Roman" w:eastAsia="Times New Roman" w:hAnsi="Times New Roman" w:cs="Times New Roman"/>
                      <w:sz w:val="18"/>
                      <w:szCs w:val="18"/>
                    </w:rPr>
                  </w:pPr>
                  <w:r w:rsidRPr="003177B4">
                    <w:rPr>
                      <w:rFonts w:ascii="Times New Roman" w:eastAsia="Times New Roman" w:hAnsi="Times New Roman" w:cs="Times New Roman"/>
                      <w:sz w:val="18"/>
                      <w:szCs w:val="18"/>
                      <w:lang w:eastAsia="tr-TR"/>
                    </w:rPr>
                    <w:t>Genişliği 500 mm’yi geçenler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r w:rsidR="003177B4" w:rsidRPr="003177B4">
              <w:trPr>
                <w:trHeight w:val="20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exact"/>
                    <w:jc w:val="center"/>
                    <w:rPr>
                      <w:rFonts w:ascii="Times New Roman" w:eastAsia="Times New Roman" w:hAnsi="Times New Roman" w:cs="Times New Roman"/>
                      <w:sz w:val="18"/>
                      <w:szCs w:val="18"/>
                    </w:rPr>
                  </w:pPr>
                  <w:r w:rsidRPr="003177B4">
                    <w:rPr>
                      <w:rFonts w:ascii="Times New Roman" w:eastAsia="Times New Roman" w:hAnsi="Times New Roman" w:cs="Times New Roman"/>
                      <w:sz w:val="18"/>
                      <w:szCs w:val="18"/>
                      <w:lang w:eastAsia="tr-TR"/>
                    </w:rPr>
                    <w:t>7220.20.89.00.11</w:t>
                  </w:r>
                </w:p>
              </w:tc>
              <w:tc>
                <w:tcPr>
                  <w:tcW w:w="3195" w:type="dxa"/>
                  <w:tcBorders>
                    <w:top w:val="single" w:sz="4" w:space="0" w:color="auto"/>
                    <w:left w:val="single" w:sz="4" w:space="0" w:color="auto"/>
                    <w:bottom w:val="single" w:sz="4" w:space="0" w:color="auto"/>
                    <w:right w:val="single" w:sz="4" w:space="0" w:color="auto"/>
                  </w:tcBorders>
                  <w:hideMark/>
                </w:tcPr>
                <w:p w:rsidR="003177B4" w:rsidRPr="003177B4" w:rsidRDefault="003177B4" w:rsidP="003177B4">
                  <w:pPr>
                    <w:spacing w:after="0" w:line="240" w:lineRule="exact"/>
                    <w:rPr>
                      <w:rFonts w:ascii="Times New Roman" w:eastAsia="Times New Roman" w:hAnsi="Times New Roman" w:cs="Times New Roman"/>
                      <w:sz w:val="18"/>
                      <w:szCs w:val="18"/>
                    </w:rPr>
                  </w:pPr>
                  <w:r w:rsidRPr="003177B4">
                    <w:rPr>
                      <w:rFonts w:ascii="Times New Roman" w:eastAsia="Times New Roman" w:hAnsi="Times New Roman" w:cs="Times New Roman"/>
                      <w:sz w:val="18"/>
                      <w:szCs w:val="18"/>
                      <w:lang w:eastAsia="tr-TR"/>
                    </w:rPr>
                    <w:t>Genişliği 500 mm’yi geçenler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7B4" w:rsidRPr="003177B4" w:rsidRDefault="003177B4" w:rsidP="003177B4">
                  <w:pPr>
                    <w:spacing w:after="0" w:line="240" w:lineRule="auto"/>
                    <w:rPr>
                      <w:rFonts w:ascii="Times New Roman" w:eastAsia="Times New Roman" w:hAnsi="Times New Roman" w:cs="Times New Roman"/>
                      <w:sz w:val="18"/>
                      <w:szCs w:val="18"/>
                      <w:lang w:eastAsia="tr-TR"/>
                    </w:rPr>
                  </w:pPr>
                </w:p>
              </w:tc>
            </w:tr>
          </w:tbl>
          <w:p w:rsidR="003177B4" w:rsidRPr="003177B4" w:rsidRDefault="003177B4" w:rsidP="003177B4">
            <w:pPr>
              <w:tabs>
                <w:tab w:val="left" w:pos="566"/>
              </w:tabs>
              <w:spacing w:after="0" w:line="240" w:lineRule="exact"/>
              <w:jc w:val="center"/>
              <w:rPr>
                <w:rFonts w:ascii="Times New Roman" w:eastAsia="Times New Roman" w:hAnsi="Times New Roman" w:cs="Times New Roman"/>
                <w:sz w:val="18"/>
                <w:szCs w:val="18"/>
                <w:lang w:eastAsia="tr-TR"/>
              </w:rPr>
            </w:pP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lastRenderedPageBreak/>
              <w:t xml:space="preserve">(2) Tarife kontenjanından faydalanabilmek için, ilgililerin bu Tebliğin yayımı tarihinden itibaren on iş günü içerisinde, Ek-1’de yer alan İthal Lisansı Başvuru Formu ile Ek-2’de yer alan Başvuruya Eklenmesi Gereken Belgeleri tam ve eksiksiz olarak düzenleyerek Ekonomi Bakanlığına (İthalat Genel Müdürlüğü) müracaat etmeleri gerekmektedir. On iş günü içerisinde yapılamayan başvurular değerlendirmeye alınmaz. </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 xml:space="preserve">(3) Tarife kontenjanı talebine ilişkin tek bir başvuru yapılması ve yapılan başvuruda Tebliğin 3 üncü maddesinde belirtilen </w:t>
            </w:r>
            <w:proofErr w:type="gramStart"/>
            <w:r w:rsidRPr="003177B4">
              <w:rPr>
                <w:rFonts w:ascii="Times New Roman" w:eastAsia="Times New Roman" w:hAnsi="Times New Roman" w:cs="Times New Roman"/>
                <w:sz w:val="18"/>
                <w:szCs w:val="18"/>
                <w:lang w:eastAsia="tr-TR"/>
              </w:rPr>
              <w:t>G.T.İ</w:t>
            </w:r>
            <w:proofErr w:type="gramEnd"/>
            <w:r w:rsidRPr="003177B4">
              <w:rPr>
                <w:rFonts w:ascii="Times New Roman" w:eastAsia="Times New Roman" w:hAnsi="Times New Roman" w:cs="Times New Roman"/>
                <w:sz w:val="18"/>
                <w:szCs w:val="18"/>
                <w:lang w:eastAsia="tr-TR"/>
              </w:rPr>
              <w:t>.P.’</w:t>
            </w:r>
            <w:proofErr w:type="spellStart"/>
            <w:r w:rsidRPr="003177B4">
              <w:rPr>
                <w:rFonts w:ascii="Times New Roman" w:eastAsia="Times New Roman" w:hAnsi="Times New Roman" w:cs="Times New Roman"/>
                <w:sz w:val="18"/>
                <w:szCs w:val="18"/>
                <w:lang w:eastAsia="tr-TR"/>
              </w:rPr>
              <w:t>ler</w:t>
            </w:r>
            <w:proofErr w:type="spellEnd"/>
            <w:r w:rsidRPr="003177B4">
              <w:rPr>
                <w:rFonts w:ascii="Times New Roman" w:eastAsia="Times New Roman" w:hAnsi="Times New Roman" w:cs="Times New Roman"/>
                <w:sz w:val="18"/>
                <w:szCs w:val="18"/>
                <w:lang w:eastAsia="tr-TR"/>
              </w:rPr>
              <w:t xml:space="preserve"> için talep edilen “toplam  miktarın” gösterilmesi gerekmektedir.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(4) Başvuruların değerlendirilmesinde, Ekonomi Bakanlığı genel evrak kayıt tarihi ve kayıt numarası esas alınacaktır. Başvuruda sunulan bilgi ve belgelerde tutarsızlık olduğu durumlarda ve/veya eksik yapılan başvurularda, söz konusu tutarsızlığın ve/veya eksikliğin başvuru süresi içerisinde giderilmesi gerekmektedir. Aksi takdirde, başvurular değerlendirmeye alınmaz.</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177B4">
              <w:rPr>
                <w:rFonts w:ascii="Times New Roman" w:eastAsia="Times New Roman" w:hAnsi="Times New Roman" w:cs="Times New Roman"/>
                <w:sz w:val="18"/>
                <w:szCs w:val="18"/>
                <w:lang w:eastAsia="tr-TR"/>
              </w:rPr>
              <w:t>(5) Başvurulara ilişkin olarak ihtiyaç duyulması halinde Ekonomi Bakanlığınca (İthalat Genel Müdürlüğü) Ek-1’de yer alan İthal Lisansı Başvuru Formu ile Ek-2’de yer alan Başvuruya Eklenmesi Gereken Belgeler ile ilgili olarak firmadan ve/veya bu belgeleri düzenleyen kişi, kurum ve kuruluşlardan ek veya açıklayıcı belge ve bilgi talep edilebilir.</w:t>
            </w:r>
            <w:proofErr w:type="gramEnd"/>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Tarife kontenjanı dağıtımı</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4 –</w:t>
            </w:r>
            <w:r w:rsidRPr="003177B4">
              <w:rPr>
                <w:rFonts w:ascii="Times New Roman" w:eastAsia="Times New Roman" w:hAnsi="Times New Roman" w:cs="Times New Roman"/>
                <w:sz w:val="18"/>
                <w:szCs w:val="18"/>
                <w:lang w:eastAsia="tr-TR"/>
              </w:rPr>
              <w:t xml:space="preserve"> (1) Tarife kontenjanı, söz konusu eşyayı üretimlerinde girdi olarak kullanan sanayicilere dağıtılır.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(2) Değerlendirmeye alınabilecek nitelikteki başvurularda talep edilen toplam tarife kontenjanı miktarının, açılmış olan tarife kontenjanı miktarına eşit veya daha az olması durumunda talepler tam olarak karşılanır.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 xml:space="preserve">(3) Değerlendirmeye alınabilecek nitelikteki başvurularda talep edilen toplam tarife kontenjanı miktarının açılan tarife kontenjanı miktarından daha fazla olması durumunda ise dağıtım; ithalat miktarı, tüketim kapasitesi ve fiili sarfiyat dikkate alınmak suretiyle gerçekleştirilir. </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İthal lisansı düzenlenmesi</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5 –</w:t>
            </w:r>
            <w:r w:rsidRPr="003177B4">
              <w:rPr>
                <w:rFonts w:ascii="Times New Roman" w:eastAsia="Times New Roman" w:hAnsi="Times New Roman" w:cs="Times New Roman"/>
                <w:sz w:val="18"/>
                <w:szCs w:val="18"/>
                <w:lang w:eastAsia="tr-TR"/>
              </w:rPr>
              <w:t xml:space="preserve"> (1) Tarife kontenjanı kapsamında yapılacak ithalat için bu Tebliğde belirtilen usul ve esaslar çerçevesinde Ekonomi Bakanlığınca (İthalat Genel Müdürlüğü) ithal lisansı düzenlenir.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(2) İthal lisansı, bir nüshası tarife kontenjanı tahsisi yapılan firmaya verilmek üzere (firma nüshası) ve bir nüshası da Ekonomi Bakanlığında kalmak üzere (Bakanlık nüshası) iki nüsha olarak düzenlenir.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Gümrük idaresince yapılacak işlemler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6 –</w:t>
            </w:r>
            <w:r w:rsidRPr="003177B4">
              <w:rPr>
                <w:rFonts w:ascii="Times New Roman" w:eastAsia="Times New Roman" w:hAnsi="Times New Roman" w:cs="Times New Roman"/>
                <w:sz w:val="18"/>
                <w:szCs w:val="18"/>
                <w:lang w:eastAsia="tr-TR"/>
              </w:rPr>
              <w:t xml:space="preserve"> (1) Bu Tebliğ kapsamında ithal edilecek ürünlere ilişkin gümrük beyannamelerinin, ithal lisansının geçerlilik süresi içinde tescil edilmiş olması şarttır. </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(2) Tarife kontenjanı kapsamında yapılacak ithalatta Ekonomi Bakanlığınca (İthalat Genel Müdürlüğü) düzenlenen ithal lisansı gümrük beyannamesinin tescilinde ilgili gümrük idaresince aranır. İthal lisansının bir kopyası gümrük beyannamesine eklenir.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(3) İthal lisansı kapsamında yapılan ithalata ilişkin gerekli düşümler ilgili gümrük idaresi tarafından ithal lisansının firma nüshasının arka yüzüne işlenerek imza ve mühür altına alınır. Bu sayfada yer kalmaması halinde ise yeni sayfa ilave edilerek ilave edilen sayfa adedi ithal lisansı firma nüshasının aslına derç edilerek imza ve mühür altına alınır.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İthal lisansı geçerlilik süresi</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7 –</w:t>
            </w:r>
            <w:r w:rsidRPr="003177B4">
              <w:rPr>
                <w:rFonts w:ascii="Times New Roman" w:eastAsia="Times New Roman" w:hAnsi="Times New Roman" w:cs="Times New Roman"/>
                <w:sz w:val="18"/>
                <w:szCs w:val="18"/>
                <w:lang w:eastAsia="tr-TR"/>
              </w:rPr>
              <w:t xml:space="preserve"> (1) Bu Tebliğ çerçevesinde yapılacak ithalat için Ekonomi Bakanlığınca (İthalat Genel Müdürlüğü) düzenlenen ithal lisansları, 31/12/2015 tarihine kadar (bu tarih </w:t>
            </w:r>
            <w:proofErr w:type="gramStart"/>
            <w:r w:rsidRPr="003177B4">
              <w:rPr>
                <w:rFonts w:ascii="Times New Roman" w:eastAsia="Times New Roman" w:hAnsi="Times New Roman" w:cs="Times New Roman"/>
                <w:sz w:val="18"/>
                <w:szCs w:val="18"/>
                <w:lang w:eastAsia="tr-TR"/>
              </w:rPr>
              <w:t>dahil</w:t>
            </w:r>
            <w:proofErr w:type="gramEnd"/>
            <w:r w:rsidRPr="003177B4">
              <w:rPr>
                <w:rFonts w:ascii="Times New Roman" w:eastAsia="Times New Roman" w:hAnsi="Times New Roman" w:cs="Times New Roman"/>
                <w:sz w:val="18"/>
                <w:szCs w:val="18"/>
                <w:lang w:eastAsia="tr-TR"/>
              </w:rPr>
              <w:t>) geçerlidir.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İthal lisansı devri</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8 –</w:t>
            </w:r>
            <w:r w:rsidRPr="003177B4">
              <w:rPr>
                <w:rFonts w:ascii="Times New Roman" w:eastAsia="Times New Roman" w:hAnsi="Times New Roman" w:cs="Times New Roman"/>
                <w:sz w:val="18"/>
                <w:szCs w:val="18"/>
                <w:lang w:eastAsia="tr-TR"/>
              </w:rPr>
              <w:t xml:space="preserve"> (1) İthal lisansı üçüncü kişilere devredilemez.</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İthal lisansının zayii</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9 –</w:t>
            </w:r>
            <w:r w:rsidRPr="003177B4">
              <w:rPr>
                <w:rFonts w:ascii="Times New Roman" w:eastAsia="Times New Roman" w:hAnsi="Times New Roman" w:cs="Times New Roman"/>
                <w:sz w:val="18"/>
                <w:szCs w:val="18"/>
                <w:lang w:eastAsia="tr-TR"/>
              </w:rPr>
              <w:t xml:space="preserve"> (1) İthal lisanslarının kaybolması, kullanılamaz hale gelmesi ve bu duruma ilişkin gazete ilanı ve/veya bu hususu belgelendiren ilgili belgeler ile başvurulması halinde, Ekonomi Bakanlığınca (İthalat Genel Müdürlüğü) üzerine "Zayi olmasından dolayı yeniden düzenlenmiştir" şeklinde şerh düşülerek, ithal lisansının kullanılmamış olan kısmı için yeni ithal lisansı düzenlenebilir. </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(2) Tamamı kullanılmış bulunan bir ithal lisansının zayii halinde, zayie ilişkin gazete ilanı ve/veya bu hususu belgelendiren ilgili belgeler ile başvurulması durumunda, ithal lisansı firma nüshasının aslının Ekonomi Bakanlığına (İthalat Genel Müdürlüğü) iade edilmesi şartı aranmaz.</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(3) Lisansın zayi olması durumunda yapılan işlemler, Ekonomi Bakanlığınca (İthalat Genel Müdürlüğü) Gümrük ve Ticaret Bakanlığına (Gümrükler Genel Müdürlüğü) ve firmaya bildirilir.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lastRenderedPageBreak/>
              <w:t>İthal lisansının revizesi</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10 –</w:t>
            </w:r>
            <w:r w:rsidRPr="003177B4">
              <w:rPr>
                <w:rFonts w:ascii="Times New Roman" w:eastAsia="Times New Roman" w:hAnsi="Times New Roman" w:cs="Times New Roman"/>
                <w:sz w:val="18"/>
                <w:szCs w:val="18"/>
                <w:lang w:eastAsia="tr-TR"/>
              </w:rPr>
              <w:t xml:space="preserve"> (1) İthal lisansının üzerinde kayıtlı hususlara ilişkin olarak ihtiyaç olması halinde, Ekonomi Bakanlığı (İthalat Genel Müdürlüğü) resen değişiklik yapabilir. Adına ithal lisansı düzenlenen firma tarafından, ithal lisansı firma nüshasının aslı ve değişiklik talebine ilişkin ilgili bilgi ve belgeler ile birlikte başvurulması halinde, ithal lisansına ilişkin revize talepleri Ekonomi Bakanlığınca (İthalat Genel Müdürlüğü) sonuçlandırılır.  Söz konusu başvurunun, adına ithal lisansı düzenlenmiş olan firmayı temsil ve ilzama yetkili temsilci veya temsilciler tarafından yapılması gerekmektedir.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sz w:val="18"/>
                <w:szCs w:val="18"/>
                <w:lang w:eastAsia="tr-TR"/>
              </w:rPr>
              <w:t>(2) İthal lisansının miktarının artırılmasına ve lisans süresinin uzatılmasına yönelik talepler değerlendirmeye alınmaz.</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İthal lisansının iadesi</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11 –</w:t>
            </w:r>
            <w:r w:rsidRPr="003177B4">
              <w:rPr>
                <w:rFonts w:ascii="Times New Roman" w:eastAsia="Times New Roman" w:hAnsi="Times New Roman" w:cs="Times New Roman"/>
                <w:sz w:val="18"/>
                <w:szCs w:val="18"/>
                <w:lang w:eastAsia="tr-TR"/>
              </w:rPr>
              <w:t xml:space="preserve"> (1) İthal lisansının geçerlilik süresinin bitmesini müteakip, on iş günü içerisinde firmalara verilen nüshanın aslı Ekonomi Bakanlığına (İthalat Genel Müdürlüğü) iadesi zorunludur.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 xml:space="preserve">Yetki </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12 –</w:t>
            </w:r>
            <w:r w:rsidRPr="003177B4">
              <w:rPr>
                <w:rFonts w:ascii="Times New Roman" w:eastAsia="Times New Roman" w:hAnsi="Times New Roman" w:cs="Times New Roman"/>
                <w:sz w:val="18"/>
                <w:szCs w:val="18"/>
                <w:lang w:eastAsia="tr-TR"/>
              </w:rPr>
              <w:t xml:space="preserve"> (1) Bu Tebliğde yer alan hususlarda uygulamaya yönelik önlem almaya, düzenleme yapmaya, gerekli durumlarda inceleme yapma veya yaptırmaya Ekonomi Bakanlığı (İthalat Genel Müdürlüğü) yetkilidir. </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Diğer mevzuat hükümleri</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13 –</w:t>
            </w:r>
            <w:r w:rsidRPr="003177B4">
              <w:rPr>
                <w:rFonts w:ascii="Times New Roman" w:eastAsia="Times New Roman" w:hAnsi="Times New Roman" w:cs="Times New Roman"/>
                <w:sz w:val="18"/>
                <w:szCs w:val="18"/>
                <w:lang w:eastAsia="tr-TR"/>
              </w:rPr>
              <w:t xml:space="preserve"> (1) Bu Tebliğ, ithal lisansı kapsamında ithalatı gerçekleşecek eşyanın ithalatının tabi olduğu diğer mevzuat hükümlerinin uygulanmasını engellemez.</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Yürürlük</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177B4">
              <w:rPr>
                <w:rFonts w:ascii="Times New Roman" w:eastAsia="Times New Roman" w:hAnsi="Times New Roman" w:cs="Times New Roman"/>
                <w:b/>
                <w:sz w:val="18"/>
                <w:szCs w:val="18"/>
                <w:lang w:eastAsia="tr-TR"/>
              </w:rPr>
              <w:t>MADDE 14 –</w:t>
            </w:r>
            <w:r w:rsidRPr="003177B4">
              <w:rPr>
                <w:rFonts w:ascii="Times New Roman" w:eastAsia="Times New Roman" w:hAnsi="Times New Roman" w:cs="Times New Roman"/>
                <w:sz w:val="18"/>
                <w:szCs w:val="18"/>
                <w:lang w:eastAsia="tr-TR"/>
              </w:rPr>
              <w:t xml:space="preserve"> (1) Bu Tebliğ yayımı tarihinde yürürlüğe girer.</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177B4">
              <w:rPr>
                <w:rFonts w:ascii="Times New Roman" w:eastAsia="Times New Roman" w:hAnsi="Times New Roman" w:cs="Times New Roman"/>
                <w:b/>
                <w:sz w:val="18"/>
                <w:szCs w:val="18"/>
                <w:lang w:eastAsia="tr-TR"/>
              </w:rPr>
              <w:t>Yürütme</w:t>
            </w:r>
          </w:p>
          <w:p w:rsidR="003177B4" w:rsidRPr="003177B4" w:rsidRDefault="003177B4" w:rsidP="003177B4">
            <w:pPr>
              <w:tabs>
                <w:tab w:val="left" w:pos="566"/>
              </w:tabs>
              <w:spacing w:after="0" w:line="240" w:lineRule="exact"/>
              <w:ind w:firstLine="566"/>
              <w:jc w:val="both"/>
              <w:rPr>
                <w:rFonts w:ascii="Times New Roman" w:eastAsia="Times New Roman" w:hAnsi="Times New Roman" w:cs="Times New Roman"/>
                <w:sz w:val="19"/>
                <w:szCs w:val="20"/>
                <w:lang w:eastAsia="tr-TR"/>
              </w:rPr>
            </w:pPr>
            <w:r w:rsidRPr="003177B4">
              <w:rPr>
                <w:rFonts w:ascii="Times New Roman" w:eastAsia="Times New Roman" w:hAnsi="Times New Roman" w:cs="Times New Roman"/>
                <w:b/>
                <w:sz w:val="18"/>
                <w:szCs w:val="18"/>
                <w:lang w:eastAsia="tr-TR"/>
              </w:rPr>
              <w:t>MADDE 15 –</w:t>
            </w:r>
            <w:r w:rsidRPr="003177B4">
              <w:rPr>
                <w:rFonts w:ascii="Times New Roman" w:eastAsia="Times New Roman" w:hAnsi="Times New Roman" w:cs="Times New Roman"/>
                <w:sz w:val="18"/>
                <w:szCs w:val="18"/>
                <w:lang w:eastAsia="tr-TR"/>
              </w:rPr>
              <w:t xml:space="preserve"> (1) Bu Tebliğ hükümlerini Ekonomi Bakanı yürütür</w:t>
            </w:r>
          </w:p>
        </w:tc>
      </w:tr>
    </w:tbl>
    <w:p w:rsidR="006B4430" w:rsidRDefault="006B4430"/>
    <w:p w:rsidR="005F365F" w:rsidRDefault="005F365F"/>
    <w:p w:rsidR="005F365F" w:rsidRDefault="005F365F"/>
    <w:sectPr w:rsidR="005F365F" w:rsidSect="00F13D05">
      <w:pgSz w:w="12240" w:h="15840"/>
      <w:pgMar w:top="2835" w:right="964" w:bottom="1134" w:left="1701"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73"/>
    <w:rsid w:val="003177B4"/>
    <w:rsid w:val="005A4273"/>
    <w:rsid w:val="005F365F"/>
    <w:rsid w:val="006B4430"/>
    <w:rsid w:val="009B21A5"/>
    <w:rsid w:val="00F13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A6FAE-5E36-4463-ADB0-02F54207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3177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3177B4"/>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3177B4"/>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rsid w:val="003177B4"/>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semiHidden/>
    <w:unhideWhenUsed/>
    <w:rsid w:val="005F36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3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Çavdar</dc:creator>
  <cp:keywords/>
  <dc:description/>
  <cp:lastModifiedBy>Ömer Baysan</cp:lastModifiedBy>
  <cp:revision>2</cp:revision>
  <cp:lastPrinted>2015-06-22T10:20:00Z</cp:lastPrinted>
  <dcterms:created xsi:type="dcterms:W3CDTF">2015-06-22T13:09:00Z</dcterms:created>
  <dcterms:modified xsi:type="dcterms:W3CDTF">2015-06-22T13:09:00Z</dcterms:modified>
</cp:coreProperties>
</file>